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309" w:rsidRDefault="00D86309" w:rsidP="00D86309">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D86309" w:rsidRDefault="00D86309" w:rsidP="00D86309">
      <w:pPr>
        <w:spacing w:after="0" w:line="240" w:lineRule="auto"/>
        <w:rPr>
          <w:rFonts w:ascii="Times New Roman" w:eastAsia="Calibri" w:hAnsi="Times New Roman" w:cs="Times New Roman"/>
          <w:sz w:val="24"/>
          <w:szCs w:val="24"/>
          <w:lang w:eastAsia="lv-LV"/>
        </w:rPr>
      </w:pPr>
    </w:p>
    <w:p w:rsidR="00D86309" w:rsidRDefault="00D86309" w:rsidP="00D86309">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D86309" w:rsidRDefault="00D86309" w:rsidP="00D86309">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D86309" w:rsidRDefault="00D86309" w:rsidP="00D86309">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D86309" w:rsidRDefault="00D86309" w:rsidP="00D86309">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A964B8">
        <w:rPr>
          <w:rFonts w:ascii="Times New Roman" w:eastAsia="Calibri" w:hAnsi="Times New Roman" w:cs="Times New Roman"/>
          <w:sz w:val="24"/>
          <w:szCs w:val="24"/>
        </w:rPr>
        <w:t>02.06.2026.</w:t>
      </w:r>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D86309" w:rsidRDefault="00D86309" w:rsidP="00D86309">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zemesgabala “Sili 1”, M</w:t>
      </w:r>
      <w:r w:rsidR="00F23989">
        <w:rPr>
          <w:rFonts w:ascii="Times New Roman" w:eastAsia="Calibri" w:hAnsi="Times New Roman" w:cs="Times New Roman"/>
          <w:sz w:val="24"/>
          <w:szCs w:val="24"/>
          <w:lang w:eastAsia="lv-LV"/>
        </w:rPr>
        <w:t>ālupes</w:t>
      </w:r>
      <w:r>
        <w:rPr>
          <w:rFonts w:ascii="Times New Roman" w:eastAsia="Calibri" w:hAnsi="Times New Roman" w:cs="Times New Roman"/>
          <w:sz w:val="24"/>
          <w:szCs w:val="24"/>
          <w:lang w:eastAsia="lv-LV"/>
        </w:rPr>
        <w:t xml:space="preserve"> pagastā, Alūksnes novadā, kadastra apzīmējums 3674 005 0049, daļu 0.88 ha platībā, kas nav apbūvēts, turpmāk – Zemesgabals.</w:t>
      </w:r>
    </w:p>
    <w:p w:rsidR="00D86309" w:rsidRDefault="00D86309" w:rsidP="00D8630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17.01.2014. lēmumu Nr. ZK/1-8.11/14/76.</w:t>
      </w:r>
    </w:p>
    <w:p w:rsidR="00D86309" w:rsidRDefault="00D86309" w:rsidP="00D86309">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0"/>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D86309" w:rsidRDefault="00D86309" w:rsidP="00D86309">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D86309" w:rsidRDefault="00D86309" w:rsidP="00D86309">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D86309" w:rsidRPr="00FF5BC8" w:rsidRDefault="00D86309" w:rsidP="00D86309">
      <w:pPr>
        <w:pStyle w:val="Sarakstarindkopa"/>
        <w:numPr>
          <w:ilvl w:val="2"/>
          <w:numId w:val="9"/>
        </w:numPr>
        <w:spacing w:after="0"/>
        <w:jc w:val="both"/>
        <w:rPr>
          <w:rFonts w:ascii="Times New Roman" w:hAnsi="Times New Roman" w:cs="Times New Roman"/>
          <w:kern w:val="2"/>
          <w:sz w:val="24"/>
          <w:szCs w:val="24"/>
          <w14:ligatures w14:val="standardContextual"/>
        </w:rPr>
      </w:pPr>
      <w:r w:rsidRPr="00FF5BC8">
        <w:rPr>
          <w:rFonts w:ascii="Times New Roman" w:hAnsi="Times New Roman" w:cs="Times New Roman"/>
          <w:kern w:val="2"/>
          <w:sz w:val="24"/>
          <w:szCs w:val="24"/>
          <w14:ligatures w14:val="standardContextual"/>
        </w:rPr>
        <w:t>Dzīvojamās apbūves zemei izvērtējamo apgrūtinājumu pārklājuma teritorija zemes kadastrālās vērtības aprēķinam – 0.5644 ha;</w:t>
      </w:r>
    </w:p>
    <w:p w:rsidR="00D86309" w:rsidRPr="00FF5BC8" w:rsidRDefault="00D86309" w:rsidP="00D86309">
      <w:pPr>
        <w:pStyle w:val="Sarakstarindkopa"/>
        <w:numPr>
          <w:ilvl w:val="2"/>
          <w:numId w:val="9"/>
        </w:numPr>
        <w:spacing w:after="0"/>
        <w:jc w:val="both"/>
        <w:rPr>
          <w:rFonts w:ascii="Times New Roman" w:hAnsi="Times New Roman" w:cs="Times New Roman"/>
          <w:kern w:val="2"/>
          <w:sz w:val="24"/>
          <w:szCs w:val="24"/>
          <w14:ligatures w14:val="standardContextual"/>
        </w:rPr>
      </w:pPr>
      <w:r w:rsidRPr="00FF5BC8">
        <w:rPr>
          <w:rFonts w:ascii="Times New Roman" w:hAnsi="Times New Roman" w:cs="Times New Roman"/>
          <w:kern w:val="2"/>
          <w:sz w:val="24"/>
          <w:szCs w:val="24"/>
          <w14:ligatures w14:val="standardContextual"/>
        </w:rPr>
        <w:t>Pierobeža – 1.4 ha;</w:t>
      </w:r>
    </w:p>
    <w:p w:rsidR="00D86309" w:rsidRPr="00FF5BC8" w:rsidRDefault="00D86309" w:rsidP="00D86309">
      <w:pPr>
        <w:pStyle w:val="Sarakstarindkopa"/>
        <w:numPr>
          <w:ilvl w:val="2"/>
          <w:numId w:val="9"/>
        </w:numPr>
        <w:spacing w:after="0"/>
        <w:jc w:val="both"/>
        <w:rPr>
          <w:rFonts w:ascii="Times New Roman" w:hAnsi="Times New Roman" w:cs="Times New Roman"/>
          <w:kern w:val="2"/>
          <w:sz w:val="24"/>
          <w:szCs w:val="24"/>
          <w14:ligatures w14:val="standardContextual"/>
        </w:rPr>
      </w:pPr>
      <w:r w:rsidRPr="00FF5BC8">
        <w:rPr>
          <w:rFonts w:ascii="Times New Roman" w:hAnsi="Times New Roman" w:cs="Times New Roman"/>
          <w:kern w:val="2"/>
          <w:sz w:val="24"/>
          <w:szCs w:val="24"/>
          <w14:ligatures w14:val="standardContextual"/>
        </w:rPr>
        <w:t>Ekspluatācijas aizsargjoslas teritorija gar elektrisko tīklu kabeļu līniju – 0.0439 ha;</w:t>
      </w:r>
    </w:p>
    <w:p w:rsidR="00D86309" w:rsidRPr="00FF5BC8" w:rsidRDefault="00D86309" w:rsidP="00D86309">
      <w:pPr>
        <w:pStyle w:val="Sarakstarindkopa"/>
        <w:numPr>
          <w:ilvl w:val="2"/>
          <w:numId w:val="9"/>
        </w:numPr>
        <w:spacing w:after="0" w:line="242" w:lineRule="auto"/>
        <w:jc w:val="both"/>
        <w:rPr>
          <w:rFonts w:ascii="Times New Roman" w:eastAsia="Calibri" w:hAnsi="Times New Roman" w:cs="Times New Roman"/>
          <w:bCs/>
          <w:sz w:val="24"/>
          <w:szCs w:val="24"/>
        </w:rPr>
      </w:pPr>
      <w:r w:rsidRPr="00FF5BC8">
        <w:rPr>
          <w:rFonts w:ascii="Times New Roman" w:hAnsi="Times New Roman" w:cs="Times New Roman"/>
          <w:kern w:val="2"/>
          <w:sz w:val="24"/>
          <w:szCs w:val="24"/>
          <w14:ligatures w14:val="standardContextual"/>
        </w:rPr>
        <w:t>Ekspluatācijas aizsargjoslas teritorija gar valsts vietējiem un pašvaldību autoceļiem lauku apvidos – 0.5644 ha.</w:t>
      </w:r>
    </w:p>
    <w:p w:rsidR="00D86309" w:rsidRPr="00D86309" w:rsidRDefault="00D86309" w:rsidP="00D86309">
      <w:pPr>
        <w:pStyle w:val="Sarakstarindkopa"/>
        <w:numPr>
          <w:ilvl w:val="1"/>
          <w:numId w:val="9"/>
        </w:numPr>
        <w:spacing w:after="0" w:line="242" w:lineRule="auto"/>
        <w:jc w:val="both"/>
        <w:rPr>
          <w:rFonts w:ascii="Times New Roman" w:eastAsia="Calibri" w:hAnsi="Times New Roman" w:cs="Times New Roman"/>
          <w:bCs/>
          <w:sz w:val="24"/>
          <w:szCs w:val="24"/>
        </w:rPr>
      </w:pPr>
      <w:r w:rsidRPr="00D86309">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D86309" w:rsidRDefault="00D86309" w:rsidP="00D86309">
      <w:pPr>
        <w:spacing w:after="0" w:line="242" w:lineRule="auto"/>
        <w:ind w:left="805"/>
        <w:jc w:val="both"/>
        <w:rPr>
          <w:rFonts w:ascii="Times New Roman" w:eastAsia="Calibri" w:hAnsi="Times New Roman" w:cs="Times New Roman"/>
          <w:bCs/>
          <w:sz w:val="24"/>
          <w:szCs w:val="24"/>
        </w:rPr>
      </w:pPr>
    </w:p>
    <w:p w:rsidR="00D86309" w:rsidRDefault="00D86309" w:rsidP="00D8630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D86309" w:rsidRDefault="00D86309" w:rsidP="00D86309">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D86309" w:rsidRDefault="00D86309" w:rsidP="00D86309">
      <w:pPr>
        <w:spacing w:after="0" w:line="252" w:lineRule="auto"/>
        <w:jc w:val="both"/>
        <w:rPr>
          <w:rFonts w:ascii="Times New Roman" w:eastAsia="Calibri" w:hAnsi="Times New Roman" w:cs="Times New Roman"/>
          <w:sz w:val="24"/>
          <w:szCs w:val="24"/>
          <w:lang w:eastAsia="lv-LV"/>
        </w:rPr>
      </w:pPr>
    </w:p>
    <w:p w:rsidR="00D86309" w:rsidRDefault="00D86309" w:rsidP="00D86309">
      <w:pPr>
        <w:spacing w:after="0" w:line="240" w:lineRule="auto"/>
        <w:jc w:val="both"/>
        <w:rPr>
          <w:rFonts w:ascii="Times New Roman" w:eastAsia="Calibri" w:hAnsi="Times New Roman" w:cs="Times New Roman"/>
          <w:sz w:val="24"/>
          <w:szCs w:val="24"/>
          <w:lang w:eastAsia="lv-LV"/>
        </w:rPr>
      </w:pPr>
    </w:p>
    <w:p w:rsidR="00D86309" w:rsidRDefault="00D86309" w:rsidP="00D86309">
      <w:pPr>
        <w:spacing w:after="0" w:line="240" w:lineRule="auto"/>
        <w:jc w:val="both"/>
        <w:rPr>
          <w:rFonts w:ascii="Times New Roman" w:eastAsia="Calibri" w:hAnsi="Times New Roman" w:cs="Times New Roman"/>
          <w:sz w:val="24"/>
          <w:szCs w:val="24"/>
          <w:lang w:eastAsia="lv-LV"/>
        </w:rPr>
      </w:pPr>
    </w:p>
    <w:p w:rsidR="00D86309" w:rsidRDefault="00D86309" w:rsidP="00D86309">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D86309" w:rsidRDefault="00D86309" w:rsidP="00D86309">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D86309" w:rsidRDefault="00D86309" w:rsidP="00D86309">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D86309" w:rsidRDefault="00D86309" w:rsidP="00D8630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86309" w:rsidRDefault="00D86309" w:rsidP="00D8630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D86309" w:rsidRDefault="00D86309" w:rsidP="00D86309">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D86309" w:rsidRDefault="00D86309" w:rsidP="00D86309">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D86309" w:rsidRDefault="00D86309" w:rsidP="00D86309">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D86309" w:rsidRDefault="00D86309" w:rsidP="00D86309">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D86309" w:rsidRDefault="00D86309" w:rsidP="00D86309">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D86309" w:rsidRDefault="00D86309" w:rsidP="00D8630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rsidR="00D86309" w:rsidRDefault="00D86309" w:rsidP="00D86309">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D86309" w:rsidRDefault="00D86309" w:rsidP="00D86309">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D86309" w:rsidRDefault="00D86309" w:rsidP="00D86309">
      <w:pPr>
        <w:spacing w:after="0" w:line="240" w:lineRule="auto"/>
        <w:ind w:left="-18"/>
        <w:contextualSpacing/>
        <w:jc w:val="both"/>
        <w:rPr>
          <w:rFonts w:ascii="Times New Roman" w:eastAsia="Calibri" w:hAnsi="Times New Roman" w:cs="Times New Roman"/>
          <w:sz w:val="16"/>
          <w:szCs w:val="16"/>
          <w:lang w:eastAsia="lv-LV"/>
        </w:rPr>
      </w:pPr>
    </w:p>
    <w:p w:rsidR="00D86309" w:rsidRDefault="00D86309" w:rsidP="00D86309">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rsidR="00D86309" w:rsidRDefault="00D86309" w:rsidP="00D8630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D86309" w:rsidRDefault="00D86309" w:rsidP="00D86309">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D86309" w:rsidRDefault="00D86309" w:rsidP="00D8630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slēgt Zemesgabala apakšnomas līgumus ar citiem zemes lietotājiem.</w:t>
      </w:r>
    </w:p>
    <w:p w:rsidR="00D86309" w:rsidRDefault="00D86309" w:rsidP="00D8630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D86309" w:rsidRDefault="00D86309" w:rsidP="00D8630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D86309" w:rsidRDefault="00D86309" w:rsidP="00D86309">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D86309" w:rsidRDefault="00D86309" w:rsidP="00D86309">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D86309" w:rsidRDefault="00D86309" w:rsidP="00D86309">
      <w:pPr>
        <w:spacing w:after="0" w:line="240" w:lineRule="auto"/>
        <w:ind w:left="567"/>
        <w:jc w:val="both"/>
        <w:rPr>
          <w:rFonts w:ascii="Times New Roman" w:eastAsia="Calibri" w:hAnsi="Times New Roman" w:cs="Times New Roman"/>
          <w:i/>
          <w:sz w:val="16"/>
          <w:szCs w:val="16"/>
          <w:lang w:eastAsia="lv-LV"/>
        </w:rPr>
      </w:pPr>
    </w:p>
    <w:p w:rsidR="00D86309" w:rsidRDefault="00D86309" w:rsidP="00D8630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D86309" w:rsidRDefault="00D86309" w:rsidP="00D8630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D86309" w:rsidRDefault="00D86309" w:rsidP="00D86309">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D86309" w:rsidRDefault="00D86309" w:rsidP="00D86309">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D86309" w:rsidRDefault="00D86309" w:rsidP="00D86309">
      <w:pPr>
        <w:spacing w:after="0" w:line="252" w:lineRule="auto"/>
        <w:ind w:left="567"/>
        <w:jc w:val="both"/>
        <w:rPr>
          <w:rFonts w:ascii="Times New Roman" w:eastAsia="Calibri" w:hAnsi="Times New Roman" w:cs="Times New Roman"/>
          <w:sz w:val="24"/>
          <w:szCs w:val="24"/>
          <w:lang w:eastAsia="lv-LV"/>
        </w:rPr>
      </w:pPr>
    </w:p>
    <w:p w:rsidR="00D86309" w:rsidRPr="00B62633" w:rsidRDefault="00D86309" w:rsidP="00D86309">
      <w:pPr>
        <w:pStyle w:val="Sarakstarindkopa"/>
        <w:numPr>
          <w:ilvl w:val="0"/>
          <w:numId w:val="3"/>
        </w:numPr>
        <w:spacing w:after="0"/>
        <w:jc w:val="center"/>
        <w:rPr>
          <w:rFonts w:ascii="Times New Roman" w:eastAsia="Times New Roman" w:hAnsi="Times New Roman" w:cs="Times New Roman"/>
          <w:b/>
          <w:sz w:val="24"/>
          <w:szCs w:val="24"/>
          <w:lang w:eastAsia="lv-LV"/>
        </w:rPr>
      </w:pPr>
      <w:r w:rsidRPr="00B62633">
        <w:rPr>
          <w:rFonts w:ascii="Times New Roman" w:eastAsia="Times New Roman" w:hAnsi="Times New Roman" w:cs="Times New Roman"/>
          <w:b/>
          <w:sz w:val="24"/>
          <w:szCs w:val="24"/>
          <w:lang w:eastAsia="lv-LV"/>
        </w:rPr>
        <w:t>Datu aizsardzība</w:t>
      </w:r>
    </w:p>
    <w:p w:rsidR="00D86309" w:rsidRPr="00B62633" w:rsidRDefault="00D86309" w:rsidP="00D8630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sidRPr="00B62633">
        <w:rPr>
          <w:rFonts w:ascii="Times New Roman" w:eastAsia="Times New Roman" w:hAnsi="Times New Roman" w:cs="Times New Roman"/>
          <w:sz w:val="24"/>
          <w:szCs w:val="24"/>
          <w:lang w:eastAsia="lv-LV"/>
        </w:rPr>
        <w:tab/>
      </w:r>
    </w:p>
    <w:p w:rsidR="00D86309" w:rsidRPr="00B62633" w:rsidRDefault="00D86309" w:rsidP="00D8630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D86309" w:rsidRPr="00B62633" w:rsidRDefault="00D86309" w:rsidP="00D86309">
      <w:pPr>
        <w:spacing w:after="0"/>
        <w:ind w:left="567" w:hanging="567"/>
        <w:jc w:val="both"/>
        <w:rPr>
          <w:rFonts w:ascii="Times New Roman" w:eastAsia="Times New Roman" w:hAnsi="Times New Roman" w:cs="Times New Roman"/>
          <w:sz w:val="24"/>
          <w:szCs w:val="24"/>
          <w:lang w:eastAsia="lv-LV"/>
        </w:rPr>
      </w:pPr>
      <w:r w:rsidRPr="00B62633">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rsidR="00D86309" w:rsidRPr="00B62633" w:rsidRDefault="00D86309" w:rsidP="00D86309">
      <w:pPr>
        <w:pStyle w:val="Sarakstarindkopa"/>
        <w:spacing w:after="0"/>
        <w:ind w:left="360"/>
        <w:jc w:val="both"/>
        <w:rPr>
          <w:rFonts w:eastAsia="Calibri" w:cs="Times New Roman"/>
          <w:szCs w:val="24"/>
          <w:lang w:eastAsia="lv-LV"/>
        </w:rPr>
      </w:pPr>
    </w:p>
    <w:p w:rsidR="00D86309" w:rsidRDefault="00D86309" w:rsidP="00D8630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D86309" w:rsidRDefault="00D86309" w:rsidP="00D86309">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D86309" w:rsidRDefault="00D86309" w:rsidP="00D8630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D86309" w:rsidRDefault="00D86309" w:rsidP="00D8630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D86309" w:rsidRDefault="00D86309" w:rsidP="00D86309">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D86309" w:rsidRDefault="00D86309" w:rsidP="00D86309">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D86309" w:rsidRDefault="00D86309" w:rsidP="00D86309">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Nomniekam ir bijuši vismaz trīs Līgumā noteikto maksājumu termiņu kavējumi, kas kopā pārsniedz vienu nomas maksas aprēķina periodu;</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D86309" w:rsidRDefault="00D86309" w:rsidP="00D86309">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D86309" w:rsidRDefault="00D86309" w:rsidP="00D86309">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D86309" w:rsidRDefault="00D86309" w:rsidP="00D86309">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D86309" w:rsidRDefault="00D86309" w:rsidP="00D86309">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D86309" w:rsidRDefault="00D86309" w:rsidP="00D86309">
      <w:pPr>
        <w:spacing w:after="100" w:line="240" w:lineRule="auto"/>
        <w:contextualSpacing/>
        <w:jc w:val="both"/>
        <w:rPr>
          <w:rFonts w:ascii="Times New Roman" w:eastAsia="Calibri" w:hAnsi="Times New Roman" w:cs="Times New Roman"/>
          <w:bCs/>
          <w:sz w:val="16"/>
          <w:szCs w:val="16"/>
          <w:lang w:eastAsia="lv-LV"/>
        </w:rPr>
      </w:pPr>
    </w:p>
    <w:p w:rsidR="00D86309" w:rsidRDefault="00D86309" w:rsidP="00D86309">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D86309" w:rsidRDefault="00D86309" w:rsidP="00D86309">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D86309" w:rsidRDefault="00D86309" w:rsidP="00D8630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D86309" w:rsidRDefault="00D86309" w:rsidP="00D8630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D86309" w:rsidRDefault="00D86309" w:rsidP="00D8630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D86309" w:rsidRDefault="00D86309" w:rsidP="00D86309">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D86309" w:rsidRDefault="00D86309" w:rsidP="00D86309">
      <w:pPr>
        <w:spacing w:after="0" w:line="242" w:lineRule="auto"/>
        <w:jc w:val="both"/>
        <w:rPr>
          <w:rFonts w:ascii="Times New Roman" w:eastAsia="Calibri" w:hAnsi="Times New Roman" w:cs="Times New Roman"/>
          <w:sz w:val="24"/>
          <w:szCs w:val="24"/>
          <w:lang w:eastAsia="lv-LV"/>
        </w:rPr>
      </w:pPr>
    </w:p>
    <w:p w:rsidR="00A964B8" w:rsidRDefault="00A964B8" w:rsidP="00D86309">
      <w:pPr>
        <w:spacing w:after="0" w:line="242" w:lineRule="auto"/>
        <w:jc w:val="both"/>
        <w:rPr>
          <w:rFonts w:ascii="Times New Roman" w:eastAsia="Calibri" w:hAnsi="Times New Roman" w:cs="Times New Roman"/>
          <w:sz w:val="24"/>
          <w:szCs w:val="24"/>
          <w:lang w:eastAsia="lv-LV"/>
        </w:rPr>
      </w:pPr>
    </w:p>
    <w:p w:rsidR="00A964B8" w:rsidRDefault="00A964B8" w:rsidP="00D86309">
      <w:pPr>
        <w:spacing w:after="0" w:line="242" w:lineRule="auto"/>
        <w:jc w:val="both"/>
        <w:rPr>
          <w:rFonts w:ascii="Times New Roman" w:eastAsia="Calibri" w:hAnsi="Times New Roman" w:cs="Times New Roman"/>
          <w:sz w:val="24"/>
          <w:szCs w:val="24"/>
          <w:lang w:eastAsia="lv-LV"/>
        </w:rPr>
      </w:pPr>
      <w:bookmarkStart w:id="5" w:name="_GoBack"/>
      <w:bookmarkEnd w:id="5"/>
    </w:p>
    <w:p w:rsidR="00D86309" w:rsidRDefault="00D86309" w:rsidP="00D86309">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D86309" w:rsidTr="00F22140">
        <w:trPr>
          <w:gridBefore w:val="1"/>
          <w:wBefore w:w="108" w:type="dxa"/>
        </w:trPr>
        <w:tc>
          <w:tcPr>
            <w:tcW w:w="4101" w:type="dxa"/>
          </w:tcPr>
          <w:p w:rsidR="00D86309" w:rsidRDefault="00D86309" w:rsidP="00F22140">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D86309" w:rsidRDefault="00D86309" w:rsidP="00F22140">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D86309" w:rsidRDefault="00D86309" w:rsidP="00F22140">
            <w:pPr>
              <w:spacing w:after="0" w:line="252" w:lineRule="auto"/>
              <w:jc w:val="both"/>
              <w:rPr>
                <w:rFonts w:ascii="Times New Roman" w:eastAsia="Times New Roman" w:hAnsi="Times New Roman" w:cs="Times New Roman"/>
                <w:b/>
                <w:bCs/>
                <w:kern w:val="2"/>
                <w:sz w:val="16"/>
                <w:szCs w:val="16"/>
                <w14:ligatures w14:val="standardContextual"/>
              </w:rPr>
            </w:pPr>
          </w:p>
        </w:tc>
      </w:tr>
      <w:tr w:rsidR="00D86309" w:rsidTr="00F22140">
        <w:trPr>
          <w:gridAfter w:val="1"/>
          <w:wAfter w:w="177" w:type="dxa"/>
        </w:trPr>
        <w:tc>
          <w:tcPr>
            <w:tcW w:w="4503" w:type="dxa"/>
            <w:gridSpan w:val="4"/>
            <w:hideMark/>
          </w:tcPr>
          <w:p w:rsidR="00D86309" w:rsidRDefault="00D86309" w:rsidP="00F2214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D86309" w:rsidRDefault="00D86309" w:rsidP="00F22140">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D86309" w:rsidRDefault="00D86309" w:rsidP="00F22140">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D86309" w:rsidRDefault="00D86309" w:rsidP="00F22140">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D86309" w:rsidRDefault="00D86309" w:rsidP="00F22140">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D86309" w:rsidRDefault="00D86309" w:rsidP="00F22140">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D86309" w:rsidRDefault="00D86309" w:rsidP="00F2214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D86309" w:rsidRDefault="00D86309" w:rsidP="00F22140">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D86309" w:rsidRDefault="00D86309" w:rsidP="00F22140">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kern w:val="2"/>
                <w:sz w:val="24"/>
                <w:szCs w:val="24"/>
                <w14:ligatures w14:val="standardContextual"/>
              </w:rPr>
            </w:pPr>
          </w:p>
          <w:p w:rsidR="00D86309" w:rsidRDefault="00D86309" w:rsidP="00F22140">
            <w:pPr>
              <w:spacing w:after="0" w:line="240" w:lineRule="auto"/>
              <w:jc w:val="center"/>
              <w:rPr>
                <w:rFonts w:ascii="Times New Roman" w:eastAsia="Calibri" w:hAnsi="Times New Roman" w:cs="Times New Roman"/>
                <w:b/>
                <w:kern w:val="2"/>
                <w:sz w:val="24"/>
                <w:szCs w:val="24"/>
                <w14:ligatures w14:val="standardContextual"/>
              </w:rPr>
            </w:pPr>
          </w:p>
        </w:tc>
      </w:tr>
    </w:tbl>
    <w:p w:rsidR="00D86309" w:rsidRDefault="00D86309" w:rsidP="00D86309"/>
    <w:p w:rsidR="00D86309" w:rsidRPr="00B62633" w:rsidRDefault="00D86309" w:rsidP="00D86309"/>
    <w:p w:rsidR="00D86309" w:rsidRDefault="00D86309" w:rsidP="00D86309"/>
    <w:p w:rsidR="003470D5" w:rsidRDefault="003470D5"/>
    <w:sectPr w:rsidR="003470D5" w:rsidSect="003342E9">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4F" w:rsidRDefault="009A464F">
      <w:pPr>
        <w:spacing w:after="0" w:line="240" w:lineRule="auto"/>
      </w:pPr>
      <w:r>
        <w:separator/>
      </w:r>
    </w:p>
  </w:endnote>
  <w:endnote w:type="continuationSeparator" w:id="0">
    <w:p w:rsidR="009A464F" w:rsidRDefault="009A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4F" w:rsidRDefault="009A464F">
      <w:pPr>
        <w:spacing w:after="0" w:line="240" w:lineRule="auto"/>
      </w:pPr>
      <w:r>
        <w:separator/>
      </w:r>
    </w:p>
  </w:footnote>
  <w:footnote w:type="continuationSeparator" w:id="0">
    <w:p w:rsidR="009A464F" w:rsidRDefault="009A4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604473"/>
      <w:docPartObj>
        <w:docPartGallery w:val="Page Numbers (Top of Page)"/>
        <w:docPartUnique/>
      </w:docPartObj>
    </w:sdtPr>
    <w:sdtEndPr>
      <w:rPr>
        <w:noProof/>
      </w:rPr>
    </w:sdtEndPr>
    <w:sdtContent>
      <w:p w:rsidR="00B62633" w:rsidRDefault="00D86309">
        <w:pPr>
          <w:pStyle w:val="Galvene"/>
          <w:jc w:val="center"/>
        </w:pPr>
        <w:r>
          <w:fldChar w:fldCharType="begin"/>
        </w:r>
        <w:r>
          <w:instrText xml:space="preserve"> PAGE   \* MERGEFORMAT </w:instrText>
        </w:r>
        <w:r>
          <w:fldChar w:fldCharType="separate"/>
        </w:r>
        <w:r w:rsidR="00A964B8">
          <w:rPr>
            <w:noProof/>
          </w:rPr>
          <w:t>5</w:t>
        </w:r>
        <w:r>
          <w:rPr>
            <w:noProof/>
          </w:rPr>
          <w:fldChar w:fldCharType="end"/>
        </w:r>
      </w:p>
    </w:sdtContent>
  </w:sdt>
  <w:p w:rsidR="00B62633" w:rsidRDefault="009A464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F68E9"/>
    <w:multiLevelType w:val="multilevel"/>
    <w:tmpl w:val="019AAD88"/>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BCA0F0E"/>
    <w:multiLevelType w:val="multilevel"/>
    <w:tmpl w:val="6868BBBE"/>
    <w:lvl w:ilvl="0">
      <w:start w:val="1"/>
      <w:numFmt w:val="decimal"/>
      <w:lvlText w:val="%1"/>
      <w:lvlJc w:val="left"/>
      <w:pPr>
        <w:ind w:left="480" w:hanging="480"/>
      </w:pPr>
      <w:rPr>
        <w:rFonts w:hint="default"/>
      </w:rPr>
    </w:lvl>
    <w:lvl w:ilvl="1">
      <w:start w:val="9"/>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306E1B6C"/>
    <w:multiLevelType w:val="multilevel"/>
    <w:tmpl w:val="79E250C8"/>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9215735"/>
    <w:multiLevelType w:val="multilevel"/>
    <w:tmpl w:val="B650C32E"/>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7"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02"/>
    <w:rsid w:val="003470D5"/>
    <w:rsid w:val="00526F02"/>
    <w:rsid w:val="009A464F"/>
    <w:rsid w:val="00A964B8"/>
    <w:rsid w:val="00B43FBE"/>
    <w:rsid w:val="00D86309"/>
    <w:rsid w:val="00DB2310"/>
    <w:rsid w:val="00F23989"/>
    <w:rsid w:val="00FF5B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1AFE6-52EE-4937-B211-F125C95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8630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86309"/>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D86309"/>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D86309"/>
    <w:pPr>
      <w:ind w:left="720"/>
      <w:contextualSpacing/>
    </w:pPr>
  </w:style>
  <w:style w:type="paragraph" w:styleId="Galvene">
    <w:name w:val="header"/>
    <w:basedOn w:val="Parasts"/>
    <w:link w:val="GalveneRakstz"/>
    <w:uiPriority w:val="99"/>
    <w:unhideWhenUsed/>
    <w:rsid w:val="00D863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6309"/>
  </w:style>
  <w:style w:type="paragraph" w:customStyle="1" w:styleId="Sarakstarindkopa1">
    <w:name w:val="Saraksta rindkopa1"/>
    <w:basedOn w:val="Parasts"/>
    <w:rsid w:val="00D86309"/>
    <w:pPr>
      <w:spacing w:after="0" w:line="240" w:lineRule="auto"/>
      <w:ind w:left="720"/>
    </w:pPr>
    <w:rPr>
      <w:rFonts w:ascii="Times New Roman" w:eastAsia="Calibri"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10426</Words>
  <Characters>5944</Characters>
  <Application>Microsoft Office Word</Application>
  <DocSecurity>0</DocSecurity>
  <Lines>49</Lines>
  <Paragraphs>32</Paragraphs>
  <ScaleCrop>false</ScaleCrop>
  <Company/>
  <LinksUpToDate>false</LinksUpToDate>
  <CharactersWithSpaces>16338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6</cp:revision>
  <dcterms:created xsi:type="dcterms:W3CDTF">2026-05-20T18:18:00Z</dcterms:created>
  <dcterms:modified xsi:type="dcterms:W3CDTF">2026-05-21T06:31:00Z</dcterms:modified>
</cp:coreProperties>
</file>