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E0" w:rsidRPr="003E343E" w:rsidRDefault="00CD30E0" w:rsidP="00CD30E0">
      <w:pPr>
        <w:jc w:val="center"/>
        <w:rPr>
          <w:sz w:val="20"/>
          <w:szCs w:val="20"/>
          <w:lang w:eastAsia="en-US"/>
        </w:rPr>
      </w:pPr>
      <w:r w:rsidRPr="003E343E">
        <w:rPr>
          <w:noProof/>
          <w:sz w:val="20"/>
          <w:szCs w:val="20"/>
          <w:lang w:eastAsia="en-US"/>
        </w:rPr>
        <w:drawing>
          <wp:inline distT="0" distB="0" distL="0" distR="0" wp14:anchorId="5FC5F2AB" wp14:editId="47FB77AB">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CD30E0" w:rsidRPr="003E343E" w:rsidRDefault="00CD30E0" w:rsidP="00CD30E0">
      <w:pPr>
        <w:spacing w:line="360" w:lineRule="auto"/>
        <w:jc w:val="center"/>
        <w:rPr>
          <w:sz w:val="20"/>
          <w:szCs w:val="20"/>
          <w:lang w:eastAsia="en-US"/>
        </w:rPr>
      </w:pPr>
      <w:r w:rsidRPr="003E343E">
        <w:rPr>
          <w:sz w:val="20"/>
          <w:szCs w:val="20"/>
          <w:lang w:eastAsia="en-US"/>
        </w:rPr>
        <w:t>LATVIJAS REPUBLIKA</w:t>
      </w:r>
    </w:p>
    <w:p w:rsidR="00CD30E0" w:rsidRPr="003E343E" w:rsidRDefault="00CD30E0" w:rsidP="00CD30E0">
      <w:pPr>
        <w:keepNext/>
        <w:spacing w:line="360" w:lineRule="auto"/>
        <w:jc w:val="center"/>
        <w:outlineLvl w:val="0"/>
        <w:rPr>
          <w:b/>
          <w:sz w:val="28"/>
          <w:szCs w:val="20"/>
          <w:lang w:eastAsia="en-US"/>
        </w:rPr>
      </w:pPr>
      <w:r w:rsidRPr="003E343E">
        <w:rPr>
          <w:b/>
          <w:sz w:val="28"/>
          <w:szCs w:val="20"/>
          <w:lang w:eastAsia="en-US"/>
        </w:rPr>
        <w:t>ALŪKSNES NOVADA PAŠVALDĪBA</w:t>
      </w:r>
    </w:p>
    <w:p w:rsidR="00CD30E0" w:rsidRPr="003E343E" w:rsidRDefault="00CD30E0" w:rsidP="00CD30E0">
      <w:pPr>
        <w:jc w:val="center"/>
        <w:rPr>
          <w:sz w:val="16"/>
          <w:szCs w:val="20"/>
          <w:lang w:eastAsia="en-US"/>
        </w:rPr>
      </w:pPr>
      <w:r w:rsidRPr="003E343E">
        <w:rPr>
          <w:sz w:val="16"/>
          <w:szCs w:val="20"/>
          <w:lang w:eastAsia="en-US"/>
        </w:rPr>
        <w:t>Nodokļu maksātāja reģistrācijas kods 90000018622</w:t>
      </w:r>
    </w:p>
    <w:p w:rsidR="00CD30E0" w:rsidRPr="003E343E" w:rsidRDefault="00CD30E0" w:rsidP="00CD30E0">
      <w:pPr>
        <w:jc w:val="center"/>
        <w:rPr>
          <w:sz w:val="16"/>
          <w:szCs w:val="20"/>
          <w:lang w:eastAsia="en-US"/>
        </w:rPr>
      </w:pPr>
      <w:r w:rsidRPr="003E343E">
        <w:rPr>
          <w:sz w:val="16"/>
          <w:szCs w:val="20"/>
          <w:lang w:eastAsia="en-US"/>
        </w:rPr>
        <w:t xml:space="preserve">DĀRZA IELĀ 11, ALŪKSNĒ,  ALŪKSNES NOVADĀ, LV – 4301, TĀLRUNIS 64381496, </w:t>
      </w:r>
      <w:smartTag w:uri="schemas-tilde-lv/tildestengine" w:element="veidnes">
        <w:smartTagPr>
          <w:attr w:name="id" w:val="-1"/>
          <w:attr w:name="baseform" w:val="FAKSS"/>
          <w:attr w:name="text" w:val="FAKSS"/>
        </w:smartTagPr>
        <w:r w:rsidRPr="003E343E">
          <w:rPr>
            <w:sz w:val="16"/>
            <w:szCs w:val="20"/>
            <w:lang w:eastAsia="en-US"/>
          </w:rPr>
          <w:t>FAKSS</w:t>
        </w:r>
      </w:smartTag>
      <w:r w:rsidRPr="003E343E">
        <w:rPr>
          <w:sz w:val="16"/>
          <w:szCs w:val="20"/>
          <w:lang w:eastAsia="en-US"/>
        </w:rPr>
        <w:t xml:space="preserve"> 64381150, </w:t>
      </w:r>
    </w:p>
    <w:p w:rsidR="00CD30E0" w:rsidRPr="003E343E" w:rsidRDefault="00CD30E0" w:rsidP="00CD30E0">
      <w:pPr>
        <w:jc w:val="center"/>
        <w:rPr>
          <w:sz w:val="16"/>
          <w:szCs w:val="20"/>
          <w:lang w:eastAsia="en-US"/>
        </w:rPr>
      </w:pPr>
      <w:r w:rsidRPr="003E343E">
        <w:rPr>
          <w:sz w:val="16"/>
          <w:szCs w:val="20"/>
          <w:lang w:eastAsia="en-US"/>
        </w:rPr>
        <w:t>E-PASTS: dome@aluksne.lv</w:t>
      </w:r>
    </w:p>
    <w:p w:rsidR="00CD30E0" w:rsidRPr="003E343E" w:rsidRDefault="00CD30E0" w:rsidP="00CD30E0">
      <w:pPr>
        <w:pBdr>
          <w:bottom w:val="single" w:sz="4" w:space="1" w:color="auto"/>
        </w:pBdr>
        <w:jc w:val="center"/>
        <w:rPr>
          <w:sz w:val="16"/>
          <w:szCs w:val="20"/>
          <w:lang w:eastAsia="en-US"/>
        </w:rPr>
      </w:pPr>
      <w:r w:rsidRPr="003E343E">
        <w:rPr>
          <w:sz w:val="16"/>
          <w:szCs w:val="20"/>
          <w:lang w:eastAsia="en-US"/>
        </w:rPr>
        <w:t>A/S „SEB banka”, KODS: UNLALV2X, KONTS Nr.LV58UNLA0025004130335</w:t>
      </w:r>
    </w:p>
    <w:p w:rsidR="00CD30E0" w:rsidRPr="003E343E" w:rsidRDefault="00CD30E0" w:rsidP="00CD30E0">
      <w:pPr>
        <w:jc w:val="center"/>
        <w:rPr>
          <w:b/>
        </w:rPr>
      </w:pPr>
    </w:p>
    <w:p w:rsidR="00CD30E0" w:rsidRPr="003E343E" w:rsidRDefault="00CD30E0" w:rsidP="00CD30E0">
      <w:pPr>
        <w:jc w:val="center"/>
      </w:pPr>
      <w:r w:rsidRPr="003E343E">
        <w:rPr>
          <w:b/>
        </w:rPr>
        <w:t xml:space="preserve">SAISTOŠIE NOTEIKUMI </w:t>
      </w:r>
    </w:p>
    <w:p w:rsidR="00CD30E0" w:rsidRPr="003E343E" w:rsidRDefault="00CD30E0" w:rsidP="00CD30E0">
      <w:pPr>
        <w:jc w:val="center"/>
      </w:pPr>
      <w:r w:rsidRPr="003E343E">
        <w:t>Alūksnē</w:t>
      </w:r>
    </w:p>
    <w:p w:rsidR="00CD30E0" w:rsidRPr="003E343E" w:rsidRDefault="00CD30E0" w:rsidP="00CD30E0">
      <w:pPr>
        <w:widowControl w:val="0"/>
        <w:tabs>
          <w:tab w:val="left" w:pos="0"/>
        </w:tabs>
        <w:rPr>
          <w:b/>
        </w:rPr>
      </w:pPr>
      <w:r w:rsidRPr="003E343E">
        <w:t xml:space="preserve">2019. gada </w:t>
      </w:r>
      <w:r>
        <w:t>31</w:t>
      </w:r>
      <w:r w:rsidRPr="003E343E">
        <w:t>. </w:t>
      </w:r>
      <w:r>
        <w:t>oktobrī</w:t>
      </w:r>
      <w:r w:rsidRPr="003E343E">
        <w:tab/>
      </w:r>
      <w:r w:rsidRPr="003E343E">
        <w:tab/>
      </w:r>
      <w:r w:rsidRPr="003E343E">
        <w:tab/>
      </w:r>
      <w:r w:rsidRPr="003E343E">
        <w:tab/>
      </w:r>
      <w:r w:rsidRPr="003E343E">
        <w:tab/>
      </w:r>
      <w:r w:rsidRPr="003E343E">
        <w:tab/>
        <w:t xml:space="preserve">                       </w:t>
      </w:r>
      <w:r w:rsidRPr="003E343E">
        <w:rPr>
          <w:b/>
        </w:rPr>
        <w:t>Nr.</w:t>
      </w:r>
      <w:r>
        <w:rPr>
          <w:b/>
        </w:rPr>
        <w:t> </w:t>
      </w:r>
      <w:r w:rsidRPr="003E343E">
        <w:rPr>
          <w:b/>
        </w:rPr>
        <w:t xml:space="preserve"> /2019</w:t>
      </w:r>
    </w:p>
    <w:p w:rsidR="00CD30E0" w:rsidRPr="003E343E" w:rsidRDefault="00CD30E0" w:rsidP="00CD30E0">
      <w:pPr>
        <w:widowControl w:val="0"/>
        <w:tabs>
          <w:tab w:val="left" w:pos="0"/>
        </w:tabs>
      </w:pPr>
    </w:p>
    <w:p w:rsidR="00CD30E0" w:rsidRPr="003E343E" w:rsidRDefault="00CD30E0" w:rsidP="00CD30E0">
      <w:pPr>
        <w:widowControl w:val="0"/>
        <w:tabs>
          <w:tab w:val="left" w:pos="0"/>
        </w:tabs>
        <w:jc w:val="right"/>
      </w:pPr>
      <w:r w:rsidRPr="003E343E">
        <w:t>APSTIPRINĀTI</w:t>
      </w:r>
    </w:p>
    <w:p w:rsidR="00CD30E0" w:rsidRPr="003E343E" w:rsidRDefault="00CD30E0" w:rsidP="00CD30E0">
      <w:pPr>
        <w:widowControl w:val="0"/>
        <w:tabs>
          <w:tab w:val="left" w:pos="0"/>
        </w:tabs>
        <w:jc w:val="right"/>
      </w:pPr>
      <w:r w:rsidRPr="003E343E">
        <w:t>ar Alūksnes novada domes</w:t>
      </w:r>
    </w:p>
    <w:p w:rsidR="00CD30E0" w:rsidRDefault="00CD30E0" w:rsidP="00CD30E0">
      <w:pPr>
        <w:widowControl w:val="0"/>
        <w:tabs>
          <w:tab w:val="left" w:pos="0"/>
        </w:tabs>
        <w:jc w:val="right"/>
      </w:pPr>
      <w:r>
        <w:t>31</w:t>
      </w:r>
      <w:r w:rsidRPr="003E343E">
        <w:t>.</w:t>
      </w:r>
      <w:r>
        <w:t>10</w:t>
      </w:r>
      <w:r w:rsidRPr="003E343E">
        <w:t>.2019. lēmumu Nr.</w:t>
      </w:r>
      <w:r>
        <w:t> </w:t>
      </w:r>
    </w:p>
    <w:p w:rsidR="00CD30E0" w:rsidRPr="003E343E" w:rsidRDefault="00CD30E0" w:rsidP="00CD30E0">
      <w:pPr>
        <w:widowControl w:val="0"/>
        <w:tabs>
          <w:tab w:val="left" w:pos="0"/>
        </w:tabs>
        <w:jc w:val="right"/>
      </w:pPr>
      <w:r w:rsidRPr="003E343E">
        <w:tab/>
        <w:t xml:space="preserve">          (protokols Nr. </w:t>
      </w:r>
      <w:r>
        <w:t>12</w:t>
      </w:r>
      <w:r w:rsidRPr="003E343E">
        <w:t>,</w:t>
      </w:r>
      <w:r>
        <w:t xml:space="preserve"> </w:t>
      </w:r>
      <w:r w:rsidRPr="003E343E">
        <w:t>.punkts)</w:t>
      </w:r>
    </w:p>
    <w:p w:rsidR="00CD30E0" w:rsidRDefault="00CD30E0" w:rsidP="00CD30E0">
      <w:pPr>
        <w:rPr>
          <w:b/>
        </w:rPr>
      </w:pPr>
      <w:r>
        <w:rPr>
          <w:b/>
          <w:color w:val="000000"/>
          <w:szCs w:val="20"/>
        </w:rPr>
        <w:t xml:space="preserve"> </w:t>
      </w:r>
    </w:p>
    <w:p w:rsidR="002368EA" w:rsidRPr="002368EA" w:rsidRDefault="002368EA" w:rsidP="002368EA">
      <w:pPr>
        <w:jc w:val="center"/>
        <w:rPr>
          <w:b/>
        </w:rPr>
      </w:pPr>
      <w:r w:rsidRPr="002368EA">
        <w:rPr>
          <w:b/>
        </w:rPr>
        <w:t>Grozījumi Alūksnes novada domes 2015. gada 29.</w:t>
      </w:r>
      <w:r>
        <w:rPr>
          <w:b/>
        </w:rPr>
        <w:t> </w:t>
      </w:r>
      <w:r w:rsidRPr="002368EA">
        <w:rPr>
          <w:b/>
        </w:rPr>
        <w:t>oktobra saistošajos noteikumos Nr.</w:t>
      </w:r>
      <w:r>
        <w:rPr>
          <w:b/>
        </w:rPr>
        <w:t> </w:t>
      </w:r>
      <w:r w:rsidRPr="002368EA">
        <w:rPr>
          <w:b/>
        </w:rPr>
        <w:t>21/2015 “</w:t>
      </w:r>
      <w:r w:rsidRPr="002368EA">
        <w:rPr>
          <w:b/>
          <w:bCs/>
        </w:rPr>
        <w:t>Par kārtību, kādā izvietojamas un noformējamas ielu nosaukuma plāksnes, ēku numura (nosaukuma) zīmes Alūksnes novadā</w:t>
      </w:r>
      <w:r w:rsidRPr="002368EA">
        <w:rPr>
          <w:b/>
        </w:rPr>
        <w:t>”</w:t>
      </w:r>
    </w:p>
    <w:p w:rsidR="002368EA" w:rsidRPr="002368EA" w:rsidRDefault="002368EA" w:rsidP="002368EA">
      <w:pPr>
        <w:jc w:val="center"/>
        <w:rPr>
          <w:b/>
        </w:rPr>
      </w:pPr>
    </w:p>
    <w:p w:rsidR="002368EA" w:rsidRPr="002368EA" w:rsidRDefault="002368EA" w:rsidP="002368EA">
      <w:pPr>
        <w:widowControl w:val="0"/>
        <w:suppressAutoHyphens/>
        <w:autoSpaceDN w:val="0"/>
        <w:jc w:val="right"/>
        <w:textAlignment w:val="baseline"/>
        <w:rPr>
          <w:rFonts w:eastAsia="Calibri"/>
          <w:i/>
          <w:kern w:val="3"/>
          <w:lang w:eastAsia="zh-CN" w:bidi="hi-IN"/>
        </w:rPr>
      </w:pPr>
      <w:r w:rsidRPr="002368EA">
        <w:rPr>
          <w:rFonts w:eastAsia="Calibri"/>
          <w:i/>
          <w:kern w:val="3"/>
          <w:lang w:eastAsia="zh-CN" w:bidi="hi-IN"/>
        </w:rPr>
        <w:t xml:space="preserve">Izdoti saskaņā ar </w:t>
      </w:r>
    </w:p>
    <w:p w:rsidR="002368EA" w:rsidRPr="002368EA" w:rsidRDefault="002368EA" w:rsidP="002368EA">
      <w:pPr>
        <w:widowControl w:val="0"/>
        <w:suppressAutoHyphens/>
        <w:autoSpaceDN w:val="0"/>
        <w:jc w:val="right"/>
        <w:textAlignment w:val="baseline"/>
        <w:rPr>
          <w:rFonts w:eastAsia="Calibri"/>
          <w:i/>
          <w:kern w:val="3"/>
          <w:lang w:eastAsia="zh-CN" w:bidi="hi-IN"/>
        </w:rPr>
      </w:pPr>
      <w:r w:rsidRPr="002368EA">
        <w:rPr>
          <w:rFonts w:eastAsia="Calibri"/>
          <w:i/>
          <w:kern w:val="3"/>
          <w:lang w:eastAsia="zh-CN" w:bidi="hi-IN"/>
        </w:rPr>
        <w:t xml:space="preserve"> likuma “Par pašvaldībām”</w:t>
      </w:r>
    </w:p>
    <w:p w:rsidR="002368EA" w:rsidRPr="002368EA" w:rsidRDefault="002368EA" w:rsidP="002368EA">
      <w:pPr>
        <w:widowControl w:val="0"/>
        <w:suppressAutoHyphens/>
        <w:autoSpaceDN w:val="0"/>
        <w:jc w:val="right"/>
        <w:textAlignment w:val="baseline"/>
        <w:rPr>
          <w:rFonts w:eastAsia="Calibri"/>
          <w:i/>
          <w:kern w:val="3"/>
          <w:lang w:eastAsia="zh-CN" w:bidi="hi-IN"/>
        </w:rPr>
      </w:pPr>
      <w:r w:rsidRPr="002368EA">
        <w:rPr>
          <w:rFonts w:eastAsia="Calibri"/>
          <w:i/>
          <w:kern w:val="3"/>
          <w:lang w:eastAsia="zh-CN" w:bidi="hi-IN"/>
        </w:rPr>
        <w:t xml:space="preserve">43. panta pirmās daļas 5. punktu </w:t>
      </w:r>
    </w:p>
    <w:p w:rsidR="002368EA" w:rsidRPr="002368EA" w:rsidRDefault="002368EA" w:rsidP="002368EA">
      <w:pPr>
        <w:jc w:val="right"/>
        <w:rPr>
          <w:b/>
        </w:rPr>
      </w:pPr>
    </w:p>
    <w:p w:rsidR="002368EA" w:rsidRPr="002368EA" w:rsidRDefault="002368EA" w:rsidP="002368EA">
      <w:pPr>
        <w:numPr>
          <w:ilvl w:val="0"/>
          <w:numId w:val="1"/>
        </w:numPr>
        <w:spacing w:before="63" w:after="63"/>
        <w:contextualSpacing/>
        <w:jc w:val="both"/>
      </w:pPr>
      <w:r w:rsidRPr="002368EA">
        <w:t>Izdarīt Alūksnes novada domes 2015. gada 29. oktobra saistošajos noteikumos Nr. 21/2015 “Par kārtību, kādā izvietojamas un noformējamas ielu nosaukuma plāksnes, ēku numura (nosaukuma) zīmes Alūksnes novadā” šādus grozījumus:</w:t>
      </w:r>
    </w:p>
    <w:p w:rsidR="002368EA" w:rsidRPr="002368EA" w:rsidRDefault="002368EA" w:rsidP="002368EA">
      <w:pPr>
        <w:spacing w:before="63" w:after="63"/>
        <w:ind w:left="426"/>
        <w:jc w:val="both"/>
      </w:pPr>
      <w:r w:rsidRPr="002368EA">
        <w:t>1.1.Iztei</w:t>
      </w:r>
      <w:r>
        <w:t>k</w:t>
      </w:r>
      <w:r w:rsidRPr="002368EA">
        <w:t xml:space="preserve"> 21.</w:t>
      </w:r>
      <w:r>
        <w:t> </w:t>
      </w:r>
      <w:r w:rsidRPr="002368EA">
        <w:t>punktu šādā redakcijā:</w:t>
      </w:r>
    </w:p>
    <w:p w:rsidR="002368EA" w:rsidRPr="002368EA" w:rsidRDefault="002368EA" w:rsidP="002368EA">
      <w:pPr>
        <w:spacing w:before="63" w:after="63"/>
        <w:ind w:left="426"/>
        <w:jc w:val="both"/>
      </w:pPr>
      <w:r w:rsidRPr="002368EA">
        <w:t>“21. Administratīvā pārkāpuma procesu līdz administratīvā pārkāpuma lietas izskatīšanai  veic Alūksnes novada pašvaldības iestāde “Būvvalde” vai Alūksnes novada pašvaldības policija. Administratīvā pārkāpuma lietu izskata Alūksnes novada pašvaldības Administratīvā komisija.”</w:t>
      </w:r>
    </w:p>
    <w:p w:rsidR="002368EA" w:rsidRPr="002368EA" w:rsidRDefault="002368EA" w:rsidP="002368EA">
      <w:pPr>
        <w:spacing w:before="63" w:after="63"/>
        <w:ind w:left="426"/>
        <w:jc w:val="both"/>
      </w:pPr>
      <w:r w:rsidRPr="002368EA">
        <w:t>1.2. Svītrot saistošo noteikumu 22.</w:t>
      </w:r>
      <w:r>
        <w:t> </w:t>
      </w:r>
      <w:r w:rsidRPr="002368EA">
        <w:t>punktu.</w:t>
      </w:r>
    </w:p>
    <w:p w:rsidR="002368EA" w:rsidRPr="002368EA" w:rsidRDefault="002368EA" w:rsidP="002368EA">
      <w:pPr>
        <w:spacing w:before="63" w:after="63"/>
        <w:ind w:left="426"/>
        <w:jc w:val="both"/>
      </w:pPr>
      <w:r w:rsidRPr="002368EA">
        <w:t>1.3. Izteikt 23.</w:t>
      </w:r>
      <w:r>
        <w:t> </w:t>
      </w:r>
      <w:r w:rsidRPr="002368EA">
        <w:t>punktu šādā redakcijā:</w:t>
      </w:r>
    </w:p>
    <w:p w:rsidR="002368EA" w:rsidRPr="002368EA" w:rsidRDefault="002368EA" w:rsidP="002368EA">
      <w:pPr>
        <w:spacing w:before="63" w:after="63"/>
        <w:ind w:left="426"/>
        <w:contextualSpacing/>
        <w:jc w:val="both"/>
      </w:pPr>
      <w:r w:rsidRPr="002368EA">
        <w:t>“23. Par noteikumu pārkāpšanu nekustamā īpašuma, ēkas vai telpu grupas īpašniekam vai tiesiskajam valdītājam piemēro brīdinājumu vai naudas sodu no 2 naudas soda vienībām līdz 12 naudas soda vienībām. Alūksnes novada pašvaldības policijai, kā arī Alūksnes novada pašvaldības iestādei “Būvvaldei”, ir tiesības uzdot personai izpildīt šajos noteikumos noteikto pienākumu vai pārtraukt veikt darbības, par kuru nepildīšanu persona tiek saukta pie administratīvās atbildības, un pienākuma nepildīšanas gadījumā uzlikt piespiedu naudu. Attiecīgās iestādes lēmumu var apstrīdēt Alūksnes novada domē, savukārt Alūksnes novada domes lēmumu – pārsūdzēt Administratīvajā rajona tiesā Administratīvā procesa likuma noteiktajā kārtībā.”</w:t>
      </w:r>
    </w:p>
    <w:p w:rsidR="002368EA" w:rsidRPr="002368EA" w:rsidRDefault="002368EA" w:rsidP="002368EA">
      <w:pPr>
        <w:ind w:left="426"/>
        <w:contextualSpacing/>
        <w:jc w:val="both"/>
      </w:pPr>
    </w:p>
    <w:p w:rsidR="002368EA" w:rsidRPr="002368EA" w:rsidRDefault="002368EA" w:rsidP="002368EA">
      <w:pPr>
        <w:numPr>
          <w:ilvl w:val="0"/>
          <w:numId w:val="1"/>
        </w:numPr>
        <w:contextualSpacing/>
        <w:jc w:val="both"/>
        <w:rPr>
          <w:color w:val="333333"/>
        </w:rPr>
      </w:pPr>
      <w:r w:rsidRPr="002368EA">
        <w:t>Saistošie noteikumi stājas spēkā vienlaikus ar Administratīvās atbildības likumu.</w:t>
      </w:r>
    </w:p>
    <w:p w:rsidR="002368EA" w:rsidRDefault="002368EA" w:rsidP="002368EA">
      <w:pPr>
        <w:spacing w:after="200" w:line="276" w:lineRule="auto"/>
      </w:pPr>
    </w:p>
    <w:p w:rsidR="002368EA" w:rsidRPr="002368EA" w:rsidRDefault="002368EA" w:rsidP="002368EA">
      <w:pPr>
        <w:spacing w:after="200" w:line="276" w:lineRule="auto"/>
      </w:pPr>
      <w:r>
        <w:t>Domes priekšsēdētājs</w:t>
      </w:r>
      <w:r>
        <w:tab/>
      </w:r>
      <w:r>
        <w:tab/>
      </w:r>
      <w:r>
        <w:tab/>
      </w:r>
      <w:r>
        <w:tab/>
      </w:r>
      <w:r>
        <w:tab/>
      </w:r>
      <w:r>
        <w:tab/>
      </w:r>
      <w:r>
        <w:tab/>
      </w:r>
      <w:r>
        <w:tab/>
        <w:t>A.DUKULIS</w:t>
      </w:r>
      <w:r w:rsidRPr="002368EA">
        <w:br w:type="page"/>
      </w:r>
    </w:p>
    <w:p w:rsidR="002368EA" w:rsidRPr="002368EA" w:rsidRDefault="002368EA" w:rsidP="002368EA">
      <w:pPr>
        <w:ind w:left="709" w:hanging="425"/>
        <w:jc w:val="both"/>
      </w:pPr>
    </w:p>
    <w:p w:rsidR="002368EA" w:rsidRPr="002368EA" w:rsidRDefault="002368EA" w:rsidP="002368EA">
      <w:pPr>
        <w:jc w:val="center"/>
        <w:rPr>
          <w:b/>
        </w:rPr>
      </w:pPr>
      <w:r w:rsidRPr="002368EA">
        <w:rPr>
          <w:b/>
        </w:rPr>
        <w:t xml:space="preserve">Alūksnes novada domes saistošo noteikumu </w:t>
      </w:r>
    </w:p>
    <w:p w:rsidR="002368EA" w:rsidRPr="002368EA" w:rsidRDefault="002368EA" w:rsidP="002368EA">
      <w:pPr>
        <w:jc w:val="center"/>
        <w:rPr>
          <w:b/>
        </w:rPr>
      </w:pPr>
      <w:r w:rsidRPr="002368EA">
        <w:rPr>
          <w:b/>
        </w:rPr>
        <w:t>“Grozījumi Alūksnes novada domes 2015. gada 29.oktobra saistošajos noteikumos Nr.21/2015 “</w:t>
      </w:r>
      <w:r w:rsidRPr="002368EA">
        <w:rPr>
          <w:b/>
          <w:bCs/>
        </w:rPr>
        <w:t>Par kārtību, kādā izvietojamas un noformējamas ielu nosaukuma plāksnes, ēku numura (nosaukuma) zīmes Alūksnes novadā</w:t>
      </w:r>
      <w:r w:rsidRPr="002368EA">
        <w:rPr>
          <w:b/>
        </w:rPr>
        <w:t>””</w:t>
      </w:r>
    </w:p>
    <w:p w:rsidR="002368EA" w:rsidRPr="002368EA" w:rsidRDefault="002368EA" w:rsidP="002368EA">
      <w:pPr>
        <w:jc w:val="center"/>
      </w:pPr>
      <w:r w:rsidRPr="002368EA">
        <w:rPr>
          <w:b/>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2368EA" w:rsidRPr="002368EA" w:rsidTr="007C1994">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pPr>
              <w:shd w:val="clear" w:color="auto" w:fill="FFFFFF"/>
              <w:jc w:val="center"/>
            </w:pPr>
            <w:smartTag w:uri="schemas-tilde-lv/tildestengine" w:element="veidnes">
              <w:smartTagPr>
                <w:attr w:name="baseform" w:val="paskaidrojum|s"/>
                <w:attr w:name="id" w:val="-1"/>
                <w:attr w:name="text" w:val="Paskaidrojuma"/>
              </w:smartTagPr>
              <w:r w:rsidRPr="002368EA">
                <w:rPr>
                  <w:b/>
                  <w:bCs/>
                </w:rPr>
                <w:t>Paskaidrojuma</w:t>
              </w:r>
            </w:smartTag>
            <w:r w:rsidRPr="002368EA">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shd w:val="clear" w:color="auto" w:fill="FFFFFF"/>
              <w:jc w:val="center"/>
            </w:pPr>
            <w:r w:rsidRPr="002368EA">
              <w:rPr>
                <w:b/>
                <w:bCs/>
              </w:rPr>
              <w:t>Norādāmā informācija</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jc w:val="both"/>
            </w:pPr>
            <w:r w:rsidRPr="002368EA">
              <w:t>Saistošo noteikumu saskaņošana ar Administratīvās atbildības likuma 16. pantu, kas nosaka, ka naudas soda apmēru pašvaldību saistošajos noteikumos izsaka naudas soda vienībās.</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jc w:val="both"/>
            </w:pPr>
            <w:r w:rsidRPr="002368EA">
              <w:t>Saistošo noteikumu projektā atbilstoši Administratīvās atbildības likumam, saistošajos noteikumos paredzētās administratīvās atbildības naudas sodi izteikti naudas soda vienībās un saskaņota terminoloģija.</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jc w:val="both"/>
            </w:pPr>
            <w:r w:rsidRPr="002368EA">
              <w:rPr>
                <w:bCs/>
              </w:rPr>
              <w:t>Saistošo noteikumu projekts neparedz ietekmi uz pašvaldības budžetu.</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jc w:val="both"/>
              <w:rPr>
                <w:bCs/>
              </w:rPr>
            </w:pPr>
            <w:r w:rsidRPr="002368EA">
              <w:rPr>
                <w:bCs/>
              </w:rPr>
              <w:t>Saistošie noteikumi pēc būtības neparedz izmaiņas administratīvajā atbildībā par saistošo noteikumu pārkāpumiem, tādēļ sabiedrības līdzdalība nav organizēta.</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2368EA" w:rsidRPr="002368EA" w:rsidRDefault="002368EA" w:rsidP="002368EA">
            <w:pPr>
              <w:jc w:val="both"/>
            </w:pPr>
            <w:r w:rsidRPr="002368EA">
              <w:t>Saistošo noteikumu projekts neparedz jaunas no esošā regulējuma atšķirīgas administratīvās procedūras.</w:t>
            </w: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pPr>
              <w:jc w:val="both"/>
              <w:rPr>
                <w:bCs/>
              </w:rPr>
            </w:pPr>
            <w:r w:rsidRPr="002368EA">
              <w:rPr>
                <w:bCs/>
              </w:rPr>
              <w:t>Saistošie noteikumi pēc būtības neparedz izmaiņas administratīvajā atbildībā par saistošo noteikumu pārkāpumiem, tādēļ sabiedrības līdzdalība nav organizēta.</w:t>
            </w:r>
          </w:p>
          <w:p w:rsidR="002368EA" w:rsidRPr="002368EA" w:rsidRDefault="002368EA" w:rsidP="002368EA">
            <w:pPr>
              <w:jc w:val="both"/>
            </w:pPr>
          </w:p>
        </w:tc>
      </w:tr>
      <w:tr w:rsidR="002368EA" w:rsidRPr="002368EA" w:rsidTr="007C1994">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r w:rsidRPr="002368EA">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2368EA" w:rsidRPr="002368EA" w:rsidRDefault="002368EA" w:rsidP="002368EA">
            <w:pPr>
              <w:jc w:val="both"/>
            </w:pPr>
            <w:r w:rsidRPr="002368EA">
              <w:t>Nav.</w:t>
            </w:r>
          </w:p>
        </w:tc>
      </w:tr>
    </w:tbl>
    <w:p w:rsidR="002368EA" w:rsidRPr="002368EA" w:rsidRDefault="002368EA" w:rsidP="002368EA"/>
    <w:p w:rsidR="002368EA" w:rsidRPr="002368EA" w:rsidRDefault="002368EA" w:rsidP="002368EA">
      <w:pPr>
        <w:spacing w:after="200" w:line="276" w:lineRule="auto"/>
      </w:pPr>
      <w:r>
        <w:t>Domes priekšsēdētājs</w:t>
      </w:r>
      <w:r>
        <w:tab/>
      </w:r>
      <w:r>
        <w:tab/>
      </w:r>
      <w:r>
        <w:tab/>
      </w:r>
      <w:r>
        <w:tab/>
      </w:r>
      <w:r>
        <w:tab/>
      </w:r>
      <w:r>
        <w:tab/>
      </w:r>
      <w:r>
        <w:tab/>
      </w:r>
      <w:r>
        <w:tab/>
        <w:t>A.DUKULIS</w:t>
      </w:r>
      <w:bookmarkStart w:id="0" w:name="_GoBack"/>
      <w:bookmarkEnd w:id="0"/>
    </w:p>
    <w:p w:rsidR="002368EA" w:rsidRPr="002368EA" w:rsidRDefault="002368EA" w:rsidP="002368EA"/>
    <w:p w:rsidR="00A554B9" w:rsidRDefault="00A554B9" w:rsidP="002368EA">
      <w:pPr>
        <w:jc w:val="center"/>
      </w:pPr>
    </w:p>
    <w:sectPr w:rsidR="00A554B9" w:rsidSect="00C63E0D">
      <w:pgSz w:w="11906" w:h="16838" w:code="9"/>
      <w:pgMar w:top="1134" w:right="1134" w:bottom="1134"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B72DD"/>
    <w:multiLevelType w:val="multilevel"/>
    <w:tmpl w:val="BA6E8868"/>
    <w:lvl w:ilvl="0">
      <w:start w:val="1"/>
      <w:numFmt w:val="decimal"/>
      <w:lvlText w:val="%1."/>
      <w:lvlJc w:val="left"/>
      <w:pPr>
        <w:ind w:left="360" w:hanging="360"/>
      </w:pPr>
      <w:rPr>
        <w:rFonts w:hint="default"/>
        <w:b w:val="0"/>
        <w:bCs/>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0"/>
    <w:rsid w:val="002368EA"/>
    <w:rsid w:val="004F7DD7"/>
    <w:rsid w:val="00A554B9"/>
    <w:rsid w:val="00CD3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D80323"/>
  <w15:chartTrackingRefBased/>
  <w15:docId w15:val="{1B2AAED5-5A03-4DEF-8B87-BDBC744F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D30E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2438</Words>
  <Characters>1390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2019-10-07T10:47:00Z</dcterms:created>
  <dcterms:modified xsi:type="dcterms:W3CDTF">2019-10-28T09:31:00Z</dcterms:modified>
</cp:coreProperties>
</file>