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C1B" w:rsidRPr="00272C1B" w:rsidRDefault="00272C1B" w:rsidP="00272C1B">
      <w:pPr>
        <w:jc w:val="center"/>
        <w:rPr>
          <w:sz w:val="20"/>
          <w:szCs w:val="20"/>
        </w:rPr>
      </w:pPr>
      <w:r w:rsidRPr="00272C1B">
        <w:rPr>
          <w:noProof/>
          <w:sz w:val="20"/>
          <w:szCs w:val="20"/>
        </w:rPr>
        <w:drawing>
          <wp:inline distT="0" distB="0" distL="0" distR="0" wp14:anchorId="3BF90237" wp14:editId="5AD6C48E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1B" w:rsidRPr="00272C1B" w:rsidRDefault="00272C1B" w:rsidP="00272C1B">
      <w:pPr>
        <w:keepNext/>
        <w:jc w:val="center"/>
        <w:outlineLvl w:val="0"/>
        <w:rPr>
          <w:b/>
          <w:sz w:val="28"/>
          <w:szCs w:val="20"/>
        </w:rPr>
      </w:pPr>
    </w:p>
    <w:p w:rsidR="00272C1B" w:rsidRPr="00272C1B" w:rsidRDefault="00272C1B" w:rsidP="00272C1B">
      <w:pPr>
        <w:keepNext/>
        <w:spacing w:line="360" w:lineRule="auto"/>
        <w:jc w:val="center"/>
        <w:outlineLvl w:val="0"/>
        <w:rPr>
          <w:b/>
          <w:sz w:val="28"/>
          <w:szCs w:val="20"/>
        </w:rPr>
      </w:pPr>
      <w:r w:rsidRPr="00272C1B">
        <w:rPr>
          <w:b/>
          <w:sz w:val="28"/>
          <w:szCs w:val="20"/>
        </w:rPr>
        <w:t>ALŪKSNES NOVADA PAŠVALDĪBA</w:t>
      </w:r>
    </w:p>
    <w:p w:rsidR="00272C1B" w:rsidRPr="00272C1B" w:rsidRDefault="00272C1B" w:rsidP="00272C1B">
      <w:pPr>
        <w:jc w:val="center"/>
        <w:rPr>
          <w:sz w:val="16"/>
          <w:szCs w:val="20"/>
        </w:rPr>
      </w:pPr>
      <w:r w:rsidRPr="00272C1B">
        <w:rPr>
          <w:sz w:val="16"/>
          <w:szCs w:val="20"/>
        </w:rPr>
        <w:t>reģistrācijas numurs  90000018622</w:t>
      </w:r>
    </w:p>
    <w:p w:rsidR="00272C1B" w:rsidRPr="00272C1B" w:rsidRDefault="00272C1B" w:rsidP="00272C1B">
      <w:pPr>
        <w:jc w:val="center"/>
        <w:rPr>
          <w:sz w:val="16"/>
          <w:szCs w:val="20"/>
        </w:rPr>
      </w:pPr>
      <w:r w:rsidRPr="00272C1B">
        <w:rPr>
          <w:sz w:val="16"/>
          <w:szCs w:val="20"/>
        </w:rPr>
        <w:t xml:space="preserve">DĀRZA IELĀ 11, ALŪKSNĒ,  ALŪKSNES NOVADĀ, LV – 4301, TĀLRUNIS 64381496, </w:t>
      </w:r>
    </w:p>
    <w:p w:rsidR="00272C1B" w:rsidRPr="00272C1B" w:rsidRDefault="00272C1B" w:rsidP="00272C1B">
      <w:pPr>
        <w:jc w:val="center"/>
        <w:rPr>
          <w:sz w:val="16"/>
          <w:szCs w:val="20"/>
        </w:rPr>
      </w:pPr>
      <w:r w:rsidRPr="00272C1B">
        <w:rPr>
          <w:sz w:val="16"/>
          <w:szCs w:val="20"/>
        </w:rPr>
        <w:t>E-PASTS: dome@aluksne.lv</w:t>
      </w:r>
    </w:p>
    <w:p w:rsidR="00272C1B" w:rsidRPr="00272C1B" w:rsidRDefault="00272C1B" w:rsidP="00272C1B">
      <w:pPr>
        <w:pBdr>
          <w:bottom w:val="single" w:sz="4" w:space="1" w:color="auto"/>
        </w:pBdr>
        <w:jc w:val="center"/>
        <w:rPr>
          <w:sz w:val="16"/>
          <w:szCs w:val="20"/>
        </w:rPr>
      </w:pPr>
      <w:r w:rsidRPr="00272C1B">
        <w:rPr>
          <w:sz w:val="16"/>
          <w:szCs w:val="20"/>
        </w:rPr>
        <w:t>A/S „SEB banka”, KODS: UNLALV2X, KONTS Nr.LV58UNLA0025004130335</w:t>
      </w:r>
    </w:p>
    <w:p w:rsidR="00272C1B" w:rsidRPr="00272C1B" w:rsidRDefault="00272C1B" w:rsidP="00272C1B">
      <w:pPr>
        <w:jc w:val="center"/>
        <w:rPr>
          <w:b/>
        </w:rPr>
      </w:pPr>
    </w:p>
    <w:p w:rsidR="00272C1B" w:rsidRPr="00272C1B" w:rsidRDefault="00272C1B" w:rsidP="00272C1B">
      <w:pPr>
        <w:jc w:val="center"/>
      </w:pPr>
      <w:r w:rsidRPr="00272C1B">
        <w:rPr>
          <w:b/>
        </w:rPr>
        <w:t xml:space="preserve">SAISTOŠIE NOTEIKUMI </w:t>
      </w:r>
    </w:p>
    <w:p w:rsidR="00272C1B" w:rsidRPr="00272C1B" w:rsidRDefault="00272C1B" w:rsidP="00272C1B">
      <w:pPr>
        <w:jc w:val="center"/>
      </w:pPr>
      <w:r w:rsidRPr="00272C1B">
        <w:t>Alūksnē</w:t>
      </w:r>
    </w:p>
    <w:p w:rsidR="00272C1B" w:rsidRPr="00272C1B" w:rsidRDefault="00272C1B" w:rsidP="00272C1B">
      <w:pPr>
        <w:widowControl w:val="0"/>
        <w:tabs>
          <w:tab w:val="left" w:pos="0"/>
        </w:tabs>
        <w:rPr>
          <w:b/>
        </w:rPr>
      </w:pPr>
      <w:r w:rsidRPr="00272C1B">
        <w:t>2020. gada 25. jūnijā</w:t>
      </w:r>
      <w:r w:rsidRPr="00272C1B">
        <w:tab/>
      </w:r>
      <w:r w:rsidRPr="00272C1B">
        <w:tab/>
      </w:r>
      <w:r w:rsidRPr="00272C1B">
        <w:tab/>
      </w:r>
      <w:r w:rsidRPr="00272C1B">
        <w:tab/>
        <w:t xml:space="preserve">                                                           </w:t>
      </w:r>
      <w:r w:rsidRPr="00272C1B">
        <w:rPr>
          <w:b/>
        </w:rPr>
        <w:t>Nr. </w:t>
      </w:r>
      <w:r w:rsidR="009D1399">
        <w:rPr>
          <w:b/>
          <w:color w:val="000000" w:themeColor="text1"/>
        </w:rPr>
        <w:t>18</w:t>
      </w:r>
      <w:r w:rsidRPr="00272C1B">
        <w:rPr>
          <w:b/>
        </w:rPr>
        <w:t>/2020</w:t>
      </w:r>
    </w:p>
    <w:p w:rsidR="00272C1B" w:rsidRPr="00272C1B" w:rsidRDefault="00272C1B" w:rsidP="00272C1B">
      <w:pPr>
        <w:widowControl w:val="0"/>
        <w:tabs>
          <w:tab w:val="left" w:pos="0"/>
        </w:tabs>
      </w:pPr>
    </w:p>
    <w:p w:rsidR="00272C1B" w:rsidRPr="00272C1B" w:rsidRDefault="00272C1B" w:rsidP="00272C1B">
      <w:pPr>
        <w:widowControl w:val="0"/>
        <w:tabs>
          <w:tab w:val="left" w:pos="0"/>
        </w:tabs>
        <w:jc w:val="right"/>
      </w:pPr>
      <w:r w:rsidRPr="00272C1B">
        <w:t>APSTIPRINĀTI</w:t>
      </w:r>
    </w:p>
    <w:p w:rsidR="00272C1B" w:rsidRPr="00272C1B" w:rsidRDefault="00272C1B" w:rsidP="00272C1B">
      <w:pPr>
        <w:widowControl w:val="0"/>
        <w:tabs>
          <w:tab w:val="left" w:pos="0"/>
        </w:tabs>
        <w:jc w:val="right"/>
      </w:pPr>
      <w:r w:rsidRPr="00272C1B">
        <w:t>ar Alūksnes novada domes</w:t>
      </w:r>
    </w:p>
    <w:p w:rsidR="00272C1B" w:rsidRPr="00272C1B" w:rsidRDefault="00272C1B" w:rsidP="00272C1B">
      <w:pPr>
        <w:widowControl w:val="0"/>
        <w:tabs>
          <w:tab w:val="left" w:pos="0"/>
        </w:tabs>
        <w:jc w:val="right"/>
      </w:pPr>
      <w:r w:rsidRPr="00272C1B">
        <w:t xml:space="preserve">   25.06.2020. lēmumu Nr. _</w:t>
      </w:r>
    </w:p>
    <w:p w:rsidR="00272C1B" w:rsidRPr="00272C1B" w:rsidRDefault="00272C1B" w:rsidP="00272C1B">
      <w:pPr>
        <w:widowControl w:val="0"/>
        <w:tabs>
          <w:tab w:val="left" w:pos="0"/>
        </w:tabs>
        <w:jc w:val="right"/>
      </w:pPr>
      <w:r w:rsidRPr="00272C1B">
        <w:tab/>
        <w:t xml:space="preserve">          (protokols Nr. </w:t>
      </w:r>
      <w:r w:rsidR="009B4326">
        <w:t>9</w:t>
      </w:r>
      <w:r w:rsidRPr="00272C1B">
        <w:t>, _. punkts)</w:t>
      </w:r>
    </w:p>
    <w:p w:rsidR="00272C1B" w:rsidRPr="00272C1B" w:rsidRDefault="00272C1B" w:rsidP="00272C1B">
      <w:pPr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</w:p>
    <w:p w:rsidR="00272C1B" w:rsidRDefault="00272C1B" w:rsidP="00272C1B">
      <w:pPr>
        <w:jc w:val="center"/>
        <w:rPr>
          <w:rFonts w:eastAsia="Calibri"/>
          <w:b/>
          <w:color w:val="000000"/>
        </w:rPr>
      </w:pPr>
    </w:p>
    <w:p w:rsidR="00272C1B" w:rsidRPr="00D66FA5" w:rsidRDefault="00272C1B" w:rsidP="00272C1B">
      <w:pPr>
        <w:jc w:val="center"/>
        <w:rPr>
          <w:rFonts w:eastAsia="Calibri"/>
          <w:color w:val="000000"/>
        </w:rPr>
      </w:pPr>
      <w:r w:rsidRPr="00D66FA5">
        <w:rPr>
          <w:rFonts w:eastAsia="Calibri"/>
          <w:b/>
          <w:color w:val="000000"/>
        </w:rPr>
        <w:t>Grozījumi</w:t>
      </w:r>
      <w:r>
        <w:rPr>
          <w:rFonts w:eastAsia="Calibri"/>
          <w:b/>
          <w:color w:val="000000"/>
        </w:rPr>
        <w:t xml:space="preserve"> Alūksnes novada domes 2018</w:t>
      </w:r>
      <w:r w:rsidRPr="00D66FA5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 </w:t>
      </w:r>
      <w:r w:rsidRPr="00D66FA5">
        <w:rPr>
          <w:rFonts w:eastAsia="Calibri"/>
          <w:b/>
          <w:color w:val="000000"/>
        </w:rPr>
        <w:t xml:space="preserve">gada </w:t>
      </w:r>
      <w:r>
        <w:rPr>
          <w:rFonts w:eastAsia="Calibri"/>
          <w:b/>
          <w:color w:val="000000"/>
        </w:rPr>
        <w:t>22</w:t>
      </w:r>
      <w:r w:rsidRPr="00D66FA5"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t> marta</w:t>
      </w:r>
      <w:r w:rsidRPr="00D66FA5">
        <w:rPr>
          <w:rFonts w:eastAsia="Calibri"/>
          <w:b/>
          <w:color w:val="000000"/>
        </w:rPr>
        <w:t xml:space="preserve"> saistošajos </w:t>
      </w:r>
    </w:p>
    <w:p w:rsidR="00272C1B" w:rsidRPr="00D66FA5" w:rsidRDefault="00272C1B" w:rsidP="00272C1B">
      <w:pPr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noteikumos Nr.3/2018</w:t>
      </w:r>
      <w:r w:rsidRPr="00D66FA5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“</w:t>
      </w:r>
      <w:r>
        <w:rPr>
          <w:b/>
          <w:bCs/>
        </w:rPr>
        <w:t>Alūksnes novada pašvaldības aģentūras “ALJA” nolikums</w:t>
      </w:r>
      <w:r w:rsidRPr="00D66FA5">
        <w:rPr>
          <w:rFonts w:eastAsia="Calibri"/>
          <w:b/>
          <w:color w:val="000000"/>
        </w:rPr>
        <w:t>”</w:t>
      </w:r>
    </w:p>
    <w:p w:rsidR="00272C1B" w:rsidRPr="00D66FA5" w:rsidRDefault="00272C1B" w:rsidP="00272C1B">
      <w:pPr>
        <w:ind w:left="3780"/>
        <w:rPr>
          <w:rFonts w:eastAsia="Calibri"/>
          <w:color w:val="000000"/>
        </w:rPr>
      </w:pPr>
      <w:r w:rsidRPr="00D66FA5">
        <w:rPr>
          <w:rFonts w:eastAsia="Calibri"/>
          <w:color w:val="000000"/>
        </w:rPr>
        <w:t> </w:t>
      </w:r>
    </w:p>
    <w:p w:rsidR="00272C1B" w:rsidRDefault="00272C1B" w:rsidP="00272C1B">
      <w:pPr>
        <w:pStyle w:val="Pamattekstsaratkpi"/>
        <w:spacing w:after="0"/>
        <w:ind w:left="0"/>
        <w:jc w:val="right"/>
        <w:rPr>
          <w:rFonts w:eastAsia="Calibri"/>
          <w:i/>
          <w:color w:val="000000"/>
        </w:rPr>
      </w:pPr>
      <w:r w:rsidRPr="00D30C4F">
        <w:rPr>
          <w:rFonts w:eastAsia="Calibri"/>
          <w:i/>
          <w:color w:val="000000"/>
        </w:rPr>
        <w:t>Izdoti saskaņā ar</w:t>
      </w:r>
      <w:r w:rsidRPr="000C10F2">
        <w:rPr>
          <w:rFonts w:eastAsia="Calibri"/>
          <w:i/>
          <w:color w:val="000000"/>
        </w:rPr>
        <w:t xml:space="preserve"> </w:t>
      </w:r>
      <w:r>
        <w:rPr>
          <w:rFonts w:eastAsia="Calibri"/>
          <w:i/>
          <w:color w:val="000000"/>
        </w:rPr>
        <w:t>Publisko aģentūru likuma</w:t>
      </w:r>
    </w:p>
    <w:p w:rsidR="00272C1B" w:rsidRPr="00ED239E" w:rsidRDefault="00272C1B" w:rsidP="00272C1B">
      <w:pPr>
        <w:ind w:left="3780"/>
        <w:jc w:val="right"/>
        <w:rPr>
          <w:i/>
        </w:rPr>
      </w:pPr>
      <w:r w:rsidRPr="00ED239E">
        <w:rPr>
          <w:i/>
        </w:rPr>
        <w:t>2.panta otro daļu</w:t>
      </w:r>
    </w:p>
    <w:p w:rsidR="00272C1B" w:rsidRDefault="00272C1B" w:rsidP="00272C1B">
      <w:pPr>
        <w:jc w:val="both"/>
      </w:pPr>
    </w:p>
    <w:p w:rsidR="00272C1B" w:rsidRPr="005C679C" w:rsidRDefault="00272C1B" w:rsidP="00272C1B">
      <w:pPr>
        <w:ind w:firstLine="435"/>
        <w:jc w:val="both"/>
      </w:pPr>
      <w:r>
        <w:t>I</w:t>
      </w:r>
      <w:r w:rsidRPr="005C679C">
        <w:t>zdarīt Alūksnes novada domes 201</w:t>
      </w:r>
      <w:r>
        <w:t>8</w:t>
      </w:r>
      <w:r w:rsidRPr="005C679C">
        <w:t>.</w:t>
      </w:r>
      <w:r>
        <w:t> </w:t>
      </w:r>
      <w:r w:rsidRPr="005C679C">
        <w:t>gada 2</w:t>
      </w:r>
      <w:r>
        <w:t>2. marta saistošajos noteikumos Nr. 3/2018</w:t>
      </w:r>
      <w:r w:rsidRPr="005C679C">
        <w:t xml:space="preserve"> </w:t>
      </w:r>
      <w:r>
        <w:t>“</w:t>
      </w:r>
      <w:r w:rsidRPr="005C679C">
        <w:t xml:space="preserve">Alūksnes novada pašvaldības aģentūras </w:t>
      </w:r>
      <w:r>
        <w:t>“</w:t>
      </w:r>
      <w:r w:rsidRPr="005C679C">
        <w:t xml:space="preserve">ALJA” </w:t>
      </w:r>
      <w:r>
        <w:t>nolikums</w:t>
      </w:r>
      <w:r w:rsidRPr="005C679C">
        <w:t xml:space="preserve">” </w:t>
      </w:r>
      <w:r>
        <w:t>šādus grozījumus:</w:t>
      </w:r>
      <w:r w:rsidRPr="005C679C">
        <w:t xml:space="preserve"> </w:t>
      </w:r>
    </w:p>
    <w:p w:rsidR="00272C1B" w:rsidRPr="005C679C" w:rsidRDefault="00272C1B" w:rsidP="00272C1B">
      <w:pPr>
        <w:jc w:val="both"/>
      </w:pPr>
    </w:p>
    <w:p w:rsidR="00272C1B" w:rsidRDefault="00272C1B" w:rsidP="00272C1B">
      <w:pPr>
        <w:numPr>
          <w:ilvl w:val="1"/>
          <w:numId w:val="1"/>
        </w:numPr>
        <w:jc w:val="both"/>
      </w:pPr>
      <w:r>
        <w:t>Papildināt 8. punktu aiz vārda “apsaimniekošanu” ar vārdiem “un uzraudzību”;</w:t>
      </w:r>
    </w:p>
    <w:p w:rsidR="00272C1B" w:rsidRDefault="00272C1B" w:rsidP="00272C1B">
      <w:pPr>
        <w:numPr>
          <w:ilvl w:val="1"/>
          <w:numId w:val="1"/>
        </w:numPr>
        <w:jc w:val="both"/>
      </w:pPr>
      <w:r>
        <w:t>Papildināt saistošos noteikumus ar 9.</w:t>
      </w:r>
      <w:r w:rsidRPr="00A926D9">
        <w:rPr>
          <w:vertAlign w:val="superscript"/>
        </w:rPr>
        <w:t>1</w:t>
      </w:r>
      <w:r>
        <w:t xml:space="preserve"> punktu šādā redakcijā:</w:t>
      </w:r>
    </w:p>
    <w:p w:rsidR="00272C1B" w:rsidRPr="00D9302C" w:rsidRDefault="00272C1B" w:rsidP="00272C1B">
      <w:pPr>
        <w:ind w:left="1418"/>
        <w:jc w:val="both"/>
      </w:pPr>
      <w:r>
        <w:t>“9.</w:t>
      </w:r>
      <w:r w:rsidRPr="00A926D9">
        <w:rPr>
          <w:vertAlign w:val="superscript"/>
        </w:rPr>
        <w:t>1</w:t>
      </w:r>
      <w:r>
        <w:t xml:space="preserve"> 9.7.punktā minētās darbības tiesīgas veikt pašvaldības vides kontroles amatpersonas - Aģentūras inspektori, direktors un Alūksnes novada domes pilnvarotās personas”.</w:t>
      </w:r>
    </w:p>
    <w:p w:rsidR="00272C1B" w:rsidRDefault="00272C1B" w:rsidP="00272C1B">
      <w:pPr>
        <w:pStyle w:val="Pamatteksts"/>
        <w:rPr>
          <w:color w:val="000000"/>
        </w:rPr>
      </w:pPr>
    </w:p>
    <w:p w:rsidR="00272C1B" w:rsidRPr="00272C1B" w:rsidRDefault="00272C1B" w:rsidP="00272C1B">
      <w:pPr>
        <w:rPr>
          <w:lang w:eastAsia="en-US"/>
        </w:rPr>
      </w:pPr>
      <w:r w:rsidRPr="00272C1B">
        <w:rPr>
          <w:lang w:eastAsia="en-US"/>
        </w:rPr>
        <w:t xml:space="preserve">Domes priekšsēdētāja vietnieks, </w:t>
      </w:r>
    </w:p>
    <w:p w:rsidR="00272C1B" w:rsidRPr="00272C1B" w:rsidRDefault="00272C1B" w:rsidP="00272C1B">
      <w:pPr>
        <w:rPr>
          <w:lang w:eastAsia="en-US"/>
        </w:rPr>
      </w:pPr>
      <w:r w:rsidRPr="00272C1B">
        <w:rPr>
          <w:lang w:eastAsia="en-US"/>
        </w:rPr>
        <w:t>pildot domes priekšsēdētāja pienākumus</w:t>
      </w:r>
      <w:r w:rsidRPr="00272C1B">
        <w:rPr>
          <w:lang w:eastAsia="en-US"/>
        </w:rPr>
        <w:tab/>
      </w:r>
      <w:r w:rsidRPr="00272C1B">
        <w:rPr>
          <w:lang w:eastAsia="en-US"/>
        </w:rPr>
        <w:tab/>
      </w:r>
      <w:r w:rsidRPr="00272C1B">
        <w:rPr>
          <w:lang w:eastAsia="en-US"/>
        </w:rPr>
        <w:tab/>
      </w:r>
      <w:r w:rsidRPr="00272C1B">
        <w:rPr>
          <w:lang w:eastAsia="en-US"/>
        </w:rPr>
        <w:tab/>
      </w:r>
      <w:r w:rsidRPr="00272C1B">
        <w:rPr>
          <w:lang w:eastAsia="en-US"/>
        </w:rPr>
        <w:tab/>
        <w:t xml:space="preserve">         Dz.ADLERS</w:t>
      </w:r>
    </w:p>
    <w:p w:rsidR="00272C1B" w:rsidRPr="00152191" w:rsidRDefault="00272C1B" w:rsidP="00272C1B">
      <w:pPr>
        <w:pStyle w:val="Pamatteksts"/>
        <w:jc w:val="center"/>
        <w:rPr>
          <w:b/>
          <w:color w:val="000000"/>
        </w:rPr>
      </w:pPr>
      <w:r w:rsidRPr="00272C1B">
        <w:br w:type="page"/>
      </w:r>
      <w:r>
        <w:rPr>
          <w:b/>
          <w:color w:val="000000"/>
        </w:rPr>
        <w:lastRenderedPageBreak/>
        <w:t>Alūksnes novada domes s</w:t>
      </w:r>
      <w:r w:rsidRPr="00152191">
        <w:rPr>
          <w:b/>
          <w:color w:val="000000"/>
        </w:rPr>
        <w:t>aistošo noteikumu</w:t>
      </w:r>
      <w:r>
        <w:rPr>
          <w:b/>
          <w:color w:val="000000"/>
        </w:rPr>
        <w:t xml:space="preserve"> “Grozījumi Alūksnes novada domes 2018. gada 22. marta saistošajos noteikumos Nr. 3/2018 “</w:t>
      </w:r>
      <w:r w:rsidRPr="00152191">
        <w:rPr>
          <w:b/>
          <w:color w:val="000000"/>
        </w:rPr>
        <w:t xml:space="preserve">Alūksnes novada pašvaldības aģentūras </w:t>
      </w:r>
      <w:r>
        <w:rPr>
          <w:b/>
          <w:color w:val="000000"/>
        </w:rPr>
        <w:t>“</w:t>
      </w:r>
      <w:r w:rsidRPr="00152191">
        <w:rPr>
          <w:b/>
          <w:color w:val="000000"/>
        </w:rPr>
        <w:t>ALJA” nolikums”</w:t>
      </w:r>
      <w:r>
        <w:rPr>
          <w:b/>
          <w:color w:val="000000"/>
        </w:rPr>
        <w:t xml:space="preserve"> </w:t>
      </w:r>
      <w:r w:rsidRPr="00152191">
        <w:rPr>
          <w:b/>
          <w:color w:val="000000"/>
        </w:rPr>
        <w:t>paskaidrojuma raksts</w:t>
      </w:r>
    </w:p>
    <w:p w:rsidR="00272C1B" w:rsidRPr="00152191" w:rsidRDefault="00272C1B" w:rsidP="00272C1B">
      <w:pPr>
        <w:pStyle w:val="Pamatteksts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18"/>
      </w:tblGrid>
      <w:tr w:rsidR="00272C1B" w:rsidRPr="00152191" w:rsidTr="00A85F26"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b/>
                <w:color w:val="000000"/>
              </w:rPr>
            </w:pPr>
            <w:r w:rsidRPr="00152191">
              <w:rPr>
                <w:b/>
                <w:color w:val="000000"/>
              </w:rPr>
              <w:t>Paskaidrojuma raksta sadaļas</w:t>
            </w:r>
          </w:p>
        </w:tc>
        <w:tc>
          <w:tcPr>
            <w:tcW w:w="7569" w:type="dxa"/>
          </w:tcPr>
          <w:p w:rsidR="00272C1B" w:rsidRPr="00152191" w:rsidRDefault="00272C1B" w:rsidP="00A85F26">
            <w:pPr>
              <w:pStyle w:val="Pamatteksts"/>
              <w:rPr>
                <w:b/>
                <w:color w:val="000000"/>
              </w:rPr>
            </w:pPr>
            <w:r w:rsidRPr="00152191">
              <w:rPr>
                <w:b/>
                <w:color w:val="000000"/>
              </w:rPr>
              <w:t>Informācija</w:t>
            </w:r>
          </w:p>
        </w:tc>
      </w:tr>
      <w:tr w:rsidR="00272C1B" w:rsidRPr="00152191" w:rsidTr="00A85F26">
        <w:trPr>
          <w:trHeight w:val="884"/>
        </w:trPr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>1.</w:t>
            </w:r>
            <w:r>
              <w:rPr>
                <w:color w:val="000000"/>
              </w:rPr>
              <w:t> </w:t>
            </w:r>
            <w:r w:rsidRPr="00152191">
              <w:rPr>
                <w:color w:val="000000"/>
              </w:rPr>
              <w:t xml:space="preserve">Projekta nepieciešamības pamatojums </w:t>
            </w:r>
          </w:p>
        </w:tc>
        <w:tc>
          <w:tcPr>
            <w:tcW w:w="756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02"/>
            </w:tblGrid>
            <w:tr w:rsidR="00272C1B" w:rsidRPr="00152191" w:rsidTr="00A85F26">
              <w:trPr>
                <w:trHeight w:val="103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C1B" w:rsidRPr="00152191" w:rsidRDefault="00272C1B" w:rsidP="00A85F26">
                  <w:pPr>
                    <w:pStyle w:val="Pamattekst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Saistošie noteikumi precizēti pamatojoties uz Administratīvās atbildības likuma 115.pantu un Zvejniecības likuma 18.pantu.</w:t>
                  </w:r>
                </w:p>
              </w:tc>
            </w:tr>
          </w:tbl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</w:tr>
      <w:tr w:rsidR="00272C1B" w:rsidRPr="00152191" w:rsidTr="00A85F26"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>2. Īss projekta satura izklāsts</w:t>
            </w:r>
          </w:p>
        </w:tc>
        <w:tc>
          <w:tcPr>
            <w:tcW w:w="756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02"/>
            </w:tblGrid>
            <w:tr w:rsidR="00272C1B" w:rsidRPr="00152191" w:rsidTr="00A85F26">
              <w:trPr>
                <w:trHeight w:val="13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C1B" w:rsidRDefault="00272C1B" w:rsidP="00A85F26">
                  <w:pPr>
                    <w:pStyle w:val="Pamattekst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</w:t>
                  </w:r>
                  <w:r w:rsidRPr="00152191">
                    <w:rPr>
                      <w:color w:val="000000"/>
                    </w:rPr>
                    <w:t>ērķis ir noteikt pašvaldības aģentūras</w:t>
                  </w:r>
                  <w:r>
                    <w:rPr>
                      <w:color w:val="000000"/>
                    </w:rPr>
                    <w:t xml:space="preserve"> “ALJA”</w:t>
                  </w:r>
                  <w:r w:rsidRPr="00152191">
                    <w:rPr>
                      <w:color w:val="000000"/>
                    </w:rPr>
                    <w:t xml:space="preserve"> (turpmāk – Aģentūras)</w:t>
                  </w:r>
                  <w:r>
                    <w:rPr>
                      <w:color w:val="000000"/>
                    </w:rPr>
                    <w:t xml:space="preserve"> amatpersonu un pašvaldības pilnvaroto personu</w:t>
                  </w:r>
                  <w:r w:rsidRPr="0015219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tiesības veikt administratīvo pārkāpumu procesu un saskaņot terminoloģiju ar Administratīvas atbildības likumu un Zvejniecības likumu.</w:t>
                  </w:r>
                </w:p>
                <w:p w:rsidR="00272C1B" w:rsidRPr="00152191" w:rsidRDefault="00272C1B" w:rsidP="00A85F26">
                  <w:pPr>
                    <w:pStyle w:val="Pamatteksts"/>
                    <w:rPr>
                      <w:color w:val="000000"/>
                    </w:rPr>
                  </w:pPr>
                  <w:r w:rsidRPr="00152191">
                    <w:rPr>
                      <w:color w:val="000000"/>
                    </w:rPr>
                    <w:t>Saistošie noteikumi precizē līdzšinējos Aģentūras uzdevumus</w:t>
                  </w:r>
                  <w:r>
                    <w:rPr>
                      <w:color w:val="000000"/>
                    </w:rPr>
                    <w:t>, nosakot, ka Aģentūra ne tikai nodrošina Alūksnes novada ezeru un upju, izņemot ūdenstilpes, kuras ir privātā īpašumā un kurās zvejas tiesības nepieder valstij, apsaimniekošanu, bet arī uzraudzību.</w:t>
                  </w:r>
                </w:p>
              </w:tc>
            </w:tr>
          </w:tbl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</w:tr>
      <w:tr w:rsidR="00272C1B" w:rsidRPr="00152191" w:rsidTr="00A85F26"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 xml:space="preserve">3. Informācija par plānoto projekta ietekmi uz pašvaldības budžetu </w:t>
            </w:r>
          </w:p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  <w:tc>
          <w:tcPr>
            <w:tcW w:w="756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55"/>
            </w:tblGrid>
            <w:tr w:rsidR="00272C1B" w:rsidRPr="00152191" w:rsidTr="00A85F26">
              <w:trPr>
                <w:trHeight w:val="4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C1B" w:rsidRPr="00152191" w:rsidRDefault="00272C1B" w:rsidP="00A85F26">
                  <w:pPr>
                    <w:pStyle w:val="Pamatteksts"/>
                    <w:rPr>
                      <w:color w:val="000000"/>
                    </w:rPr>
                  </w:pPr>
                  <w:r w:rsidRPr="00152191">
                    <w:rPr>
                      <w:color w:val="000000"/>
                    </w:rPr>
                    <w:t>Saistošie noteikum</w:t>
                  </w:r>
                  <w:r>
                    <w:rPr>
                      <w:color w:val="000000"/>
                    </w:rPr>
                    <w:t>i neparedz ietekmi uz pašvaldības budžetu.</w:t>
                  </w:r>
                </w:p>
              </w:tc>
            </w:tr>
          </w:tbl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</w:tr>
      <w:tr w:rsidR="00272C1B" w:rsidRPr="00152191" w:rsidTr="00A85F26"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>4. Informācija par plānoto projekta ietekmi uz uzņēmējdarbības vidi pašvaldības teritorijā</w:t>
            </w:r>
          </w:p>
        </w:tc>
        <w:tc>
          <w:tcPr>
            <w:tcW w:w="7569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>Ar saistošajiem noteikumiem apstiprinātā Aģentūras kompetence ir vērsta uz pašvaldības funkciju realizēšanu, tādēļ to izdošana uzņēmējdarbības vidi pašvaldības teritorijā būtiski neietekmēs.</w:t>
            </w:r>
          </w:p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</w:tr>
      <w:tr w:rsidR="00272C1B" w:rsidRPr="00152191" w:rsidTr="00A85F26">
        <w:trPr>
          <w:trHeight w:val="980"/>
        </w:trPr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>5. Informācija par administratīvajām procedūrām</w:t>
            </w:r>
          </w:p>
        </w:tc>
        <w:tc>
          <w:tcPr>
            <w:tcW w:w="7569" w:type="dxa"/>
          </w:tcPr>
          <w:tbl>
            <w:tblPr>
              <w:tblW w:w="740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7352"/>
            </w:tblGrid>
            <w:tr w:rsidR="00272C1B" w:rsidRPr="00152191" w:rsidTr="00A85F26">
              <w:trPr>
                <w:trHeight w:val="689"/>
                <w:tblCellSpacing w:w="0" w:type="dxa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2C1B" w:rsidRPr="00152191" w:rsidRDefault="00272C1B" w:rsidP="00A85F26">
                  <w:pPr>
                    <w:pStyle w:val="Pamatteksts"/>
                    <w:rPr>
                      <w:color w:val="000000"/>
                    </w:rPr>
                  </w:pPr>
                </w:p>
              </w:tc>
              <w:tc>
                <w:tcPr>
                  <w:tcW w:w="7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2C1B" w:rsidRPr="00152191" w:rsidRDefault="00272C1B" w:rsidP="00A85F26">
                  <w:pPr>
                    <w:pStyle w:val="Pamatteksts"/>
                    <w:rPr>
                      <w:color w:val="000000"/>
                    </w:rPr>
                  </w:pPr>
                  <w:r w:rsidRPr="00152191">
                    <w:rPr>
                      <w:color w:val="000000"/>
                    </w:rPr>
                    <w:t xml:space="preserve">Privātpersona saistošo noteikumu piemērošanā var griezties </w:t>
                  </w:r>
                  <w:r>
                    <w:rPr>
                      <w:color w:val="000000"/>
                    </w:rPr>
                    <w:t>Aģentūrā</w:t>
                  </w:r>
                  <w:r w:rsidRPr="00152191">
                    <w:rPr>
                      <w:color w:val="000000"/>
                    </w:rPr>
                    <w:t xml:space="preserve"> vai Alūksnes novada pašvaldībā pie izpilddirektora.</w:t>
                  </w:r>
                </w:p>
              </w:tc>
            </w:tr>
          </w:tbl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</w:tr>
      <w:tr w:rsidR="00272C1B" w:rsidRPr="00152191" w:rsidTr="00A85F26">
        <w:tc>
          <w:tcPr>
            <w:tcW w:w="1895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>6. Informācija par konsultācijām ar privātpersonām</w:t>
            </w:r>
          </w:p>
        </w:tc>
        <w:tc>
          <w:tcPr>
            <w:tcW w:w="7569" w:type="dxa"/>
          </w:tcPr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  <w:r w:rsidRPr="00152191">
              <w:rPr>
                <w:color w:val="000000"/>
              </w:rPr>
              <w:t xml:space="preserve">Saistošo noteikumu izstrādes procesā konsultācijas ar privātpersonām nav veiktas. </w:t>
            </w:r>
          </w:p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  <w:p w:rsidR="00272C1B" w:rsidRPr="00152191" w:rsidRDefault="00272C1B" w:rsidP="00A85F26">
            <w:pPr>
              <w:pStyle w:val="Pamatteksts"/>
              <w:rPr>
                <w:color w:val="000000"/>
              </w:rPr>
            </w:pPr>
          </w:p>
        </w:tc>
      </w:tr>
    </w:tbl>
    <w:p w:rsidR="00272C1B" w:rsidRPr="00152191" w:rsidRDefault="00272C1B" w:rsidP="00272C1B">
      <w:pPr>
        <w:pStyle w:val="Pamatteksts"/>
        <w:rPr>
          <w:color w:val="000000"/>
        </w:rPr>
      </w:pPr>
    </w:p>
    <w:p w:rsidR="00272C1B" w:rsidRPr="00152191" w:rsidRDefault="00272C1B" w:rsidP="00272C1B">
      <w:pPr>
        <w:pStyle w:val="Pamatteksts"/>
        <w:rPr>
          <w:color w:val="000000"/>
        </w:rPr>
      </w:pPr>
    </w:p>
    <w:p w:rsidR="00272C1B" w:rsidRPr="00272C1B" w:rsidRDefault="00272C1B" w:rsidP="00272C1B">
      <w:pPr>
        <w:rPr>
          <w:lang w:eastAsia="en-US"/>
        </w:rPr>
      </w:pPr>
      <w:r w:rsidRPr="00272C1B">
        <w:rPr>
          <w:lang w:eastAsia="en-US"/>
        </w:rPr>
        <w:t xml:space="preserve">Domes priekšsēdētāja vietnieks, </w:t>
      </w:r>
    </w:p>
    <w:p w:rsidR="00272C1B" w:rsidRPr="00272C1B" w:rsidRDefault="00272C1B" w:rsidP="00272C1B">
      <w:pPr>
        <w:rPr>
          <w:lang w:eastAsia="en-US"/>
        </w:rPr>
      </w:pPr>
      <w:r w:rsidRPr="00272C1B">
        <w:rPr>
          <w:lang w:eastAsia="en-US"/>
        </w:rPr>
        <w:t>pildot domes priekšsēdētāja pienākumus</w:t>
      </w:r>
      <w:r w:rsidRPr="00272C1B">
        <w:rPr>
          <w:lang w:eastAsia="en-US"/>
        </w:rPr>
        <w:tab/>
      </w:r>
      <w:r w:rsidRPr="00272C1B">
        <w:rPr>
          <w:lang w:eastAsia="en-US"/>
        </w:rPr>
        <w:tab/>
      </w:r>
      <w:r w:rsidRPr="00272C1B">
        <w:rPr>
          <w:lang w:eastAsia="en-US"/>
        </w:rPr>
        <w:tab/>
      </w:r>
      <w:r w:rsidRPr="00272C1B">
        <w:rPr>
          <w:lang w:eastAsia="en-US"/>
        </w:rPr>
        <w:tab/>
      </w:r>
      <w:r w:rsidRPr="00272C1B">
        <w:rPr>
          <w:lang w:eastAsia="en-US"/>
        </w:rPr>
        <w:tab/>
        <w:t xml:space="preserve">         Dz.ADLERS</w:t>
      </w:r>
    </w:p>
    <w:p w:rsidR="00272C1B" w:rsidRDefault="00272C1B" w:rsidP="00272C1B">
      <w:pPr>
        <w:jc w:val="center"/>
        <w:rPr>
          <w:b/>
          <w:bCs/>
        </w:rPr>
      </w:pPr>
    </w:p>
    <w:p w:rsidR="003C0741" w:rsidRDefault="003C0741"/>
    <w:sectPr w:rsidR="003C0741" w:rsidSect="00272C1B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7D1"/>
    <w:multiLevelType w:val="multilevel"/>
    <w:tmpl w:val="9EB2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1B"/>
    <w:rsid w:val="00272C1B"/>
    <w:rsid w:val="003C0741"/>
    <w:rsid w:val="004F7DD7"/>
    <w:rsid w:val="009B4326"/>
    <w:rsid w:val="009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92BA3"/>
  <w15:chartTrackingRefBased/>
  <w15:docId w15:val="{8C41879E-C015-4895-8928-741739C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2C1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72C1B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272C1B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72C1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72C1B"/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2C1B"/>
    <w:rPr>
      <w:rFonts w:ascii="Segoe UI" w:hAnsi="Segoe UI" w:cs="Segoe UI"/>
      <w:sz w:val="18"/>
      <w:szCs w:val="18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2C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3</cp:revision>
  <dcterms:created xsi:type="dcterms:W3CDTF">2020-06-12T10:39:00Z</dcterms:created>
  <dcterms:modified xsi:type="dcterms:W3CDTF">2020-06-16T07:50:00Z</dcterms:modified>
</cp:coreProperties>
</file>