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B1F2" w14:textId="0EF9A520" w:rsidR="000B2856" w:rsidRPr="000B2856" w:rsidRDefault="000B2856" w:rsidP="000B2856">
      <w:pPr>
        <w:spacing w:after="0" w:line="240" w:lineRule="auto"/>
        <w:jc w:val="right"/>
        <w:rPr>
          <w:bCs/>
          <w:i/>
          <w:iCs/>
        </w:rPr>
      </w:pPr>
      <w:r w:rsidRPr="000B2856">
        <w:rPr>
          <w:bCs/>
          <w:i/>
          <w:iCs/>
        </w:rPr>
        <w:t>PROJEKTS</w:t>
      </w:r>
    </w:p>
    <w:p w14:paraId="1A40744D" w14:textId="77777777" w:rsidR="000B2856" w:rsidRDefault="000B2856" w:rsidP="000B2856">
      <w:pPr>
        <w:spacing w:after="0" w:line="240" w:lineRule="auto"/>
        <w:jc w:val="right"/>
        <w:rPr>
          <w:b/>
        </w:rPr>
      </w:pPr>
    </w:p>
    <w:p w14:paraId="4F762FF8" w14:textId="360ED38E" w:rsidR="000B2856" w:rsidRPr="00325A44" w:rsidRDefault="000B2856" w:rsidP="000B2856">
      <w:pPr>
        <w:spacing w:after="0" w:line="240" w:lineRule="auto"/>
        <w:jc w:val="center"/>
        <w:rPr>
          <w:b/>
        </w:rPr>
      </w:pPr>
      <w:r w:rsidRPr="00C2775D">
        <w:rPr>
          <w:b/>
        </w:rPr>
        <w:t>Grozīj</w:t>
      </w:r>
      <w:r>
        <w:rPr>
          <w:b/>
        </w:rPr>
        <w:t>umi Alūksnes novada pašvaldības domes 2013</w:t>
      </w:r>
      <w:r w:rsidRPr="00C2775D">
        <w:rPr>
          <w:b/>
        </w:rPr>
        <w:t>.</w:t>
      </w:r>
      <w:r>
        <w:rPr>
          <w:b/>
        </w:rPr>
        <w:t> gada 25. jūlija</w:t>
      </w:r>
      <w:r w:rsidRPr="00C2775D">
        <w:rPr>
          <w:b/>
        </w:rPr>
        <w:t xml:space="preserve"> saistošajos noteikumos Nr.</w:t>
      </w:r>
      <w:r>
        <w:rPr>
          <w:b/>
        </w:rPr>
        <w:t> </w:t>
      </w:r>
      <w:r w:rsidRPr="00C2775D">
        <w:rPr>
          <w:b/>
        </w:rPr>
        <w:t>1</w:t>
      </w:r>
      <w:r>
        <w:rPr>
          <w:b/>
        </w:rPr>
        <w:t>8/2013 “</w:t>
      </w:r>
      <w:r w:rsidRPr="00C2775D">
        <w:rPr>
          <w:b/>
        </w:rPr>
        <w:t>Alūksnes novada pašvaldības nolikums”</w:t>
      </w:r>
    </w:p>
    <w:p w14:paraId="041B252C" w14:textId="77777777" w:rsidR="000B2856" w:rsidRPr="00AB182E" w:rsidRDefault="000B2856" w:rsidP="000B2856">
      <w:pPr>
        <w:spacing w:after="0" w:line="240" w:lineRule="auto"/>
        <w:jc w:val="center"/>
        <w:rPr>
          <w:b/>
        </w:rPr>
      </w:pPr>
    </w:p>
    <w:p w14:paraId="206DC7ED" w14:textId="77777777" w:rsidR="000B2856" w:rsidRPr="00325A44" w:rsidRDefault="000B2856" w:rsidP="000B2856">
      <w:pPr>
        <w:spacing w:after="0" w:line="240" w:lineRule="auto"/>
        <w:jc w:val="right"/>
        <w:rPr>
          <w:i/>
          <w:iCs/>
        </w:rPr>
      </w:pPr>
      <w:r w:rsidRPr="00325A44">
        <w:rPr>
          <w:i/>
          <w:iCs/>
        </w:rPr>
        <w:t>Izdoti saskaņā ar likuma “Par pašvaldībām”</w:t>
      </w:r>
    </w:p>
    <w:p w14:paraId="2E9B98C1" w14:textId="77777777" w:rsidR="000B2856" w:rsidRPr="00325A44" w:rsidRDefault="000B2856" w:rsidP="000B2856">
      <w:pPr>
        <w:spacing w:after="0" w:line="240" w:lineRule="auto"/>
        <w:jc w:val="right"/>
        <w:rPr>
          <w:i/>
          <w:iCs/>
        </w:rPr>
      </w:pPr>
      <w:r w:rsidRPr="00325A44">
        <w:rPr>
          <w:i/>
          <w:iCs/>
        </w:rPr>
        <w:t>21.</w:t>
      </w:r>
      <w:r>
        <w:rPr>
          <w:i/>
          <w:iCs/>
        </w:rPr>
        <w:t> </w:t>
      </w:r>
      <w:r w:rsidRPr="00325A44">
        <w:rPr>
          <w:i/>
          <w:iCs/>
        </w:rPr>
        <w:t>panta pirmās daļas 1.</w:t>
      </w:r>
      <w:r>
        <w:rPr>
          <w:i/>
          <w:iCs/>
        </w:rPr>
        <w:t> </w:t>
      </w:r>
      <w:r w:rsidRPr="00325A44">
        <w:rPr>
          <w:i/>
          <w:iCs/>
        </w:rPr>
        <w:t>punktu un 24.</w:t>
      </w:r>
      <w:r>
        <w:rPr>
          <w:i/>
          <w:iCs/>
        </w:rPr>
        <w:t> </w:t>
      </w:r>
      <w:r w:rsidRPr="00325A44">
        <w:rPr>
          <w:i/>
          <w:iCs/>
        </w:rPr>
        <w:t>pantu</w:t>
      </w:r>
    </w:p>
    <w:p w14:paraId="223FECCC" w14:textId="77777777" w:rsidR="000B2856" w:rsidRDefault="000B2856" w:rsidP="000B2856">
      <w:pPr>
        <w:spacing w:after="0" w:line="240" w:lineRule="auto"/>
        <w:jc w:val="both"/>
      </w:pPr>
    </w:p>
    <w:p w14:paraId="096C08EF" w14:textId="77777777" w:rsidR="000B2856" w:rsidRDefault="000B2856" w:rsidP="000B2856">
      <w:pPr>
        <w:spacing w:after="0" w:line="240" w:lineRule="auto"/>
        <w:ind w:firstLine="720"/>
        <w:jc w:val="both"/>
        <w:rPr>
          <w:rFonts w:cs="Times New Roman"/>
          <w:color w:val="000000"/>
        </w:rPr>
      </w:pPr>
      <w:r>
        <w:rPr>
          <w:rFonts w:eastAsia="Calibri" w:cs="Times New Roman"/>
          <w:bCs/>
        </w:rPr>
        <w:t xml:space="preserve">Izdarīt </w:t>
      </w:r>
      <w:r>
        <w:rPr>
          <w:rFonts w:cs="Times New Roman"/>
        </w:rPr>
        <w:t>Alūksnes novada domes 2013. gada 25. jūlija s</w:t>
      </w:r>
      <w:r>
        <w:rPr>
          <w:rFonts w:cs="Times New Roman"/>
          <w:bCs/>
        </w:rPr>
        <w:t>aisto</w:t>
      </w:r>
      <w:r>
        <w:rPr>
          <w:rFonts w:eastAsia="TimesNewRoman,Bold" w:cs="Times New Roman"/>
          <w:bCs/>
        </w:rPr>
        <w:t>š</w:t>
      </w:r>
      <w:r>
        <w:rPr>
          <w:rFonts w:cs="Times New Roman"/>
          <w:bCs/>
        </w:rPr>
        <w:t>ajos noteikumos Nr. </w:t>
      </w:r>
      <w:r>
        <w:rPr>
          <w:rFonts w:cs="Times New Roman"/>
        </w:rPr>
        <w:t xml:space="preserve">18/2013 </w:t>
      </w:r>
      <w:r>
        <w:rPr>
          <w:rFonts w:cs="Times New Roman"/>
          <w:color w:val="000000"/>
        </w:rPr>
        <w:t>“</w:t>
      </w:r>
      <w:r>
        <w:rPr>
          <w:rFonts w:cs="Times New Roman"/>
          <w:bCs/>
          <w:color w:val="000000"/>
        </w:rPr>
        <w:t>Alūksnes novada pašvaldības nolikums</w:t>
      </w:r>
      <w:r>
        <w:rPr>
          <w:rFonts w:cs="Times New Roman"/>
          <w:color w:val="000000"/>
        </w:rPr>
        <w:t>” šādus grozījumus:</w:t>
      </w:r>
    </w:p>
    <w:p w14:paraId="109F5C7E" w14:textId="77777777" w:rsidR="000B2856" w:rsidRDefault="000B2856" w:rsidP="000B2856">
      <w:pPr>
        <w:spacing w:after="0" w:line="240" w:lineRule="auto"/>
        <w:ind w:firstLine="720"/>
        <w:jc w:val="both"/>
        <w:rPr>
          <w:rFonts w:cs="Times New Roman"/>
        </w:rPr>
      </w:pPr>
    </w:p>
    <w:p w14:paraId="4CAC12EF" w14:textId="77777777" w:rsidR="000B2856" w:rsidRDefault="000B2856" w:rsidP="000B2856">
      <w:pPr>
        <w:pStyle w:val="Sarakstarindkopa"/>
        <w:numPr>
          <w:ilvl w:val="0"/>
          <w:numId w:val="1"/>
        </w:numPr>
        <w:spacing w:after="0" w:line="240" w:lineRule="auto"/>
        <w:ind w:left="284" w:hanging="284"/>
        <w:jc w:val="both"/>
        <w:rPr>
          <w:rFonts w:ascii="Times New Roman" w:hAnsi="Times New Roman"/>
        </w:rPr>
      </w:pPr>
      <w:r>
        <w:rPr>
          <w:rFonts w:ascii="Times New Roman" w:hAnsi="Times New Roman"/>
        </w:rPr>
        <w:t>Svītrot 2.14. un 2.16. apakšpunktu.</w:t>
      </w:r>
    </w:p>
    <w:p w14:paraId="005F2768" w14:textId="77777777" w:rsidR="000B2856" w:rsidRDefault="000B2856" w:rsidP="000B2856">
      <w:pPr>
        <w:pStyle w:val="Sarakstarindkopa"/>
        <w:spacing w:after="0" w:line="240" w:lineRule="auto"/>
        <w:ind w:left="284"/>
        <w:jc w:val="both"/>
        <w:rPr>
          <w:rFonts w:ascii="Times New Roman" w:hAnsi="Times New Roman"/>
        </w:rPr>
      </w:pPr>
    </w:p>
    <w:p w14:paraId="5D776652" w14:textId="77777777" w:rsidR="000B2856" w:rsidRDefault="000B2856" w:rsidP="000B2856">
      <w:pPr>
        <w:pStyle w:val="Sarakstarindkopa"/>
        <w:numPr>
          <w:ilvl w:val="0"/>
          <w:numId w:val="1"/>
        </w:numPr>
        <w:spacing w:after="0" w:line="240" w:lineRule="auto"/>
        <w:ind w:left="284" w:hanging="284"/>
        <w:jc w:val="both"/>
        <w:rPr>
          <w:rFonts w:ascii="Times New Roman" w:hAnsi="Times New Roman"/>
        </w:rPr>
      </w:pPr>
      <w:r>
        <w:rPr>
          <w:rFonts w:ascii="Times New Roman" w:hAnsi="Times New Roman"/>
        </w:rPr>
        <w:t>Papildināt ar jaunu 2.17. apakšpunktu:</w:t>
      </w:r>
    </w:p>
    <w:p w14:paraId="489D31B4" w14:textId="77777777" w:rsidR="000B2856" w:rsidRPr="00325A44" w:rsidRDefault="000B2856" w:rsidP="000B2856">
      <w:pPr>
        <w:spacing w:after="0" w:line="240" w:lineRule="auto"/>
        <w:ind w:left="284"/>
        <w:jc w:val="both"/>
      </w:pPr>
      <w:r>
        <w:t xml:space="preserve">“2.17. </w:t>
      </w:r>
      <w:r w:rsidRPr="00325A44">
        <w:t xml:space="preserve">Alūksnes novada Veclaicenes un </w:t>
      </w:r>
      <w:proofErr w:type="spellStart"/>
      <w:r w:rsidRPr="00325A44">
        <w:t>Ziemera</w:t>
      </w:r>
      <w:proofErr w:type="spellEnd"/>
      <w:r w:rsidRPr="00325A44">
        <w:t xml:space="preserve"> pagastu apvienība, kuras sastāvā ir:</w:t>
      </w:r>
    </w:p>
    <w:p w14:paraId="5188AD6B" w14:textId="77777777" w:rsidR="000B2856" w:rsidRDefault="000B2856" w:rsidP="000B2856">
      <w:pPr>
        <w:pStyle w:val="Sarakstarindkopa"/>
        <w:numPr>
          <w:ilvl w:val="2"/>
          <w:numId w:val="1"/>
        </w:numPr>
        <w:spacing w:after="0" w:line="240" w:lineRule="auto"/>
        <w:ind w:left="1560" w:hanging="709"/>
        <w:jc w:val="both"/>
        <w:rPr>
          <w:rFonts w:ascii="Times New Roman" w:hAnsi="Times New Roman"/>
        </w:rPr>
      </w:pPr>
      <w:r>
        <w:rPr>
          <w:rFonts w:ascii="Times New Roman" w:hAnsi="Times New Roman"/>
        </w:rPr>
        <w:t>Alūksnes novada Veclaicenes pagasts;</w:t>
      </w:r>
    </w:p>
    <w:p w14:paraId="0371B259" w14:textId="77777777" w:rsidR="000B2856" w:rsidRDefault="000B2856" w:rsidP="000B2856">
      <w:pPr>
        <w:pStyle w:val="Sarakstarindkopa"/>
        <w:numPr>
          <w:ilvl w:val="2"/>
          <w:numId w:val="1"/>
        </w:numPr>
        <w:spacing w:after="0" w:line="240" w:lineRule="auto"/>
        <w:ind w:left="1560" w:hanging="709"/>
        <w:jc w:val="both"/>
        <w:rPr>
          <w:rFonts w:ascii="Times New Roman" w:hAnsi="Times New Roman"/>
        </w:rPr>
      </w:pPr>
      <w:r>
        <w:rPr>
          <w:rFonts w:ascii="Times New Roman" w:hAnsi="Times New Roman"/>
        </w:rPr>
        <w:t xml:space="preserve">Alūksnes novada </w:t>
      </w:r>
      <w:proofErr w:type="spellStart"/>
      <w:r>
        <w:rPr>
          <w:rFonts w:ascii="Times New Roman" w:hAnsi="Times New Roman"/>
        </w:rPr>
        <w:t>Ziemera</w:t>
      </w:r>
      <w:proofErr w:type="spellEnd"/>
      <w:r>
        <w:rPr>
          <w:rFonts w:ascii="Times New Roman" w:hAnsi="Times New Roman"/>
        </w:rPr>
        <w:t xml:space="preserve"> pagasts”.</w:t>
      </w:r>
    </w:p>
    <w:p w14:paraId="3BD3B6F5" w14:textId="77777777" w:rsidR="000B2856" w:rsidRDefault="000B2856" w:rsidP="000B2856">
      <w:pPr>
        <w:pStyle w:val="Sarakstarindkopa"/>
        <w:spacing w:after="0" w:line="240" w:lineRule="auto"/>
        <w:ind w:left="900"/>
        <w:jc w:val="both"/>
        <w:rPr>
          <w:rFonts w:ascii="Times New Roman" w:hAnsi="Times New Roman"/>
        </w:rPr>
      </w:pPr>
    </w:p>
    <w:p w14:paraId="441E9870" w14:textId="77777777" w:rsidR="000B2856" w:rsidRPr="00DF55CB" w:rsidRDefault="000B2856" w:rsidP="000B2856">
      <w:pPr>
        <w:pStyle w:val="Sarakstarindkopa"/>
        <w:numPr>
          <w:ilvl w:val="0"/>
          <w:numId w:val="1"/>
        </w:numPr>
        <w:spacing w:after="0" w:line="240" w:lineRule="auto"/>
        <w:ind w:left="284" w:hanging="284"/>
        <w:jc w:val="both"/>
        <w:rPr>
          <w:rFonts w:ascii="Times New Roman" w:hAnsi="Times New Roman"/>
          <w:szCs w:val="24"/>
        </w:rPr>
      </w:pPr>
      <w:r>
        <w:rPr>
          <w:rFonts w:ascii="Times New Roman" w:hAnsi="Times New Roman"/>
          <w:szCs w:val="24"/>
        </w:rPr>
        <w:t xml:space="preserve">Aizstāt visā tekstā vārdu “administrācija” </w:t>
      </w:r>
      <w:r w:rsidRPr="00DF55CB">
        <w:rPr>
          <w:rFonts w:ascii="Times New Roman" w:hAnsi="Times New Roman"/>
        </w:rPr>
        <w:t xml:space="preserve">(attiecīgā locījumā) </w:t>
      </w:r>
      <w:r>
        <w:rPr>
          <w:rFonts w:ascii="Times New Roman" w:hAnsi="Times New Roman"/>
          <w:szCs w:val="24"/>
        </w:rPr>
        <w:t>ar vārdiem “Centrālā administrācija” (attiecīgajā locījumā).</w:t>
      </w:r>
    </w:p>
    <w:p w14:paraId="64CAECCF" w14:textId="77777777" w:rsidR="000B2856" w:rsidRDefault="000B2856" w:rsidP="000B2856">
      <w:pPr>
        <w:pStyle w:val="Sarakstarindkopa"/>
        <w:spacing w:after="0" w:line="240" w:lineRule="auto"/>
        <w:ind w:left="284"/>
        <w:jc w:val="both"/>
        <w:rPr>
          <w:rFonts w:ascii="Times New Roman" w:hAnsi="Times New Roman"/>
          <w:szCs w:val="24"/>
        </w:rPr>
      </w:pPr>
    </w:p>
    <w:p w14:paraId="57EB9F28" w14:textId="77777777" w:rsidR="000B2856" w:rsidRPr="00DF55CB" w:rsidRDefault="000B2856" w:rsidP="000B2856">
      <w:pPr>
        <w:pStyle w:val="Sarakstarindkopa"/>
        <w:numPr>
          <w:ilvl w:val="0"/>
          <w:numId w:val="1"/>
        </w:numPr>
        <w:spacing w:after="0" w:line="240" w:lineRule="auto"/>
        <w:ind w:left="284" w:hanging="284"/>
        <w:jc w:val="both"/>
        <w:rPr>
          <w:rFonts w:ascii="Times New Roman" w:hAnsi="Times New Roman"/>
          <w:szCs w:val="24"/>
        </w:rPr>
      </w:pPr>
      <w:r w:rsidRPr="00DF55CB">
        <w:rPr>
          <w:rFonts w:ascii="Times New Roman" w:hAnsi="Times New Roman"/>
        </w:rPr>
        <w:t>Aizstāt visā tekstā vārdus “pagasts” (attiecīgā locījumā) ar “pagasts/pagastu apvienība” (attiecīgā locījumā).</w:t>
      </w:r>
    </w:p>
    <w:p w14:paraId="0545B932" w14:textId="77777777" w:rsidR="000B2856" w:rsidRPr="00DF55CB" w:rsidRDefault="000B2856" w:rsidP="000B2856">
      <w:pPr>
        <w:pStyle w:val="Sarakstarindkopa"/>
        <w:spacing w:after="0" w:line="240" w:lineRule="auto"/>
        <w:rPr>
          <w:rFonts w:ascii="Times New Roman" w:hAnsi="Times New Roman"/>
          <w:szCs w:val="24"/>
        </w:rPr>
      </w:pPr>
    </w:p>
    <w:p w14:paraId="5EDE69B6" w14:textId="77777777" w:rsidR="000B2856" w:rsidRPr="00631523" w:rsidRDefault="000B2856" w:rsidP="000B2856">
      <w:pPr>
        <w:pStyle w:val="Sarakstarindkopa"/>
        <w:numPr>
          <w:ilvl w:val="0"/>
          <w:numId w:val="1"/>
        </w:numPr>
        <w:spacing w:after="0" w:line="240" w:lineRule="auto"/>
        <w:ind w:left="284" w:hanging="284"/>
        <w:jc w:val="both"/>
        <w:rPr>
          <w:rFonts w:ascii="Times New Roman" w:hAnsi="Times New Roman"/>
          <w:szCs w:val="24"/>
        </w:rPr>
      </w:pPr>
      <w:r>
        <w:rPr>
          <w:rFonts w:ascii="Times New Roman" w:hAnsi="Times New Roman"/>
        </w:rPr>
        <w:t>Izteikt 9.7. apakšpunktu šādā redakcijā:</w:t>
      </w:r>
    </w:p>
    <w:p w14:paraId="158A4DF3" w14:textId="77777777" w:rsidR="000B2856" w:rsidRPr="00325A44" w:rsidRDefault="000B2856" w:rsidP="000B2856">
      <w:pPr>
        <w:spacing w:after="0" w:line="240" w:lineRule="auto"/>
        <w:ind w:left="284"/>
        <w:jc w:val="both"/>
        <w:rPr>
          <w:color w:val="000000" w:themeColor="text1"/>
        </w:rPr>
      </w:pPr>
      <w:r w:rsidRPr="00325A44">
        <w:rPr>
          <w:color w:val="000000" w:themeColor="text1"/>
        </w:rPr>
        <w:t xml:space="preserve">“9.7. </w:t>
      </w:r>
      <w:r w:rsidRPr="00325A44">
        <w:rPr>
          <w:rFonts w:cs="Times New Roman"/>
          <w:color w:val="000000" w:themeColor="text1"/>
          <w:szCs w:val="24"/>
        </w:rPr>
        <w:t xml:space="preserve">ir tiesīgs </w:t>
      </w:r>
      <w:r w:rsidRPr="00325A44">
        <w:rPr>
          <w:rFonts w:cs="Times New Roman"/>
          <w:color w:val="000000" w:themeColor="text1"/>
          <w:szCs w:val="24"/>
          <w:shd w:val="clear" w:color="auto" w:fill="FFFFFF"/>
        </w:rPr>
        <w:t xml:space="preserve">dod saistošus rīkojumus pašvaldības administrācijas darbiniekiem (amatpersonām), </w:t>
      </w:r>
      <w:r w:rsidRPr="00325A44">
        <w:rPr>
          <w:color w:val="000000" w:themeColor="text1"/>
        </w:rPr>
        <w:t>norādījumus un uzdevumus pašvaldības domes deputātiem</w:t>
      </w:r>
      <w:r w:rsidRPr="00325A44">
        <w:rPr>
          <w:rFonts w:cs="Times New Roman"/>
          <w:color w:val="000000" w:themeColor="text1"/>
          <w:szCs w:val="24"/>
          <w:shd w:val="clear" w:color="auto" w:fill="FFFFFF"/>
        </w:rPr>
        <w:t>”.</w:t>
      </w:r>
    </w:p>
    <w:p w14:paraId="75DD2D27" w14:textId="77777777" w:rsidR="000B2856" w:rsidRPr="001606FB" w:rsidRDefault="000B2856" w:rsidP="000B2856">
      <w:pPr>
        <w:spacing w:after="0" w:line="240" w:lineRule="auto"/>
        <w:jc w:val="both"/>
      </w:pPr>
    </w:p>
    <w:p w14:paraId="411A351E" w14:textId="77777777" w:rsidR="000B2856" w:rsidRDefault="000B2856" w:rsidP="000B2856">
      <w:pPr>
        <w:pStyle w:val="Sarakstarindkopa"/>
        <w:numPr>
          <w:ilvl w:val="0"/>
          <w:numId w:val="1"/>
        </w:numPr>
        <w:spacing w:after="0" w:line="240" w:lineRule="auto"/>
        <w:ind w:left="284" w:hanging="284"/>
        <w:jc w:val="both"/>
        <w:rPr>
          <w:rFonts w:ascii="Times New Roman" w:hAnsi="Times New Roman"/>
          <w:szCs w:val="24"/>
        </w:rPr>
      </w:pPr>
      <w:r>
        <w:rPr>
          <w:rFonts w:ascii="Times New Roman" w:hAnsi="Times New Roman"/>
          <w:szCs w:val="24"/>
        </w:rPr>
        <w:t>Svītrot 11.7., 12.7., 12.</w:t>
      </w:r>
      <w:r w:rsidRPr="00BA1936">
        <w:rPr>
          <w:rFonts w:ascii="Times New Roman" w:hAnsi="Times New Roman"/>
          <w:szCs w:val="24"/>
          <w:vertAlign w:val="superscript"/>
        </w:rPr>
        <w:t>1</w:t>
      </w:r>
      <w:r>
        <w:rPr>
          <w:rFonts w:ascii="Times New Roman" w:hAnsi="Times New Roman"/>
          <w:szCs w:val="24"/>
        </w:rPr>
        <w:t>4. apakšpunktu.</w:t>
      </w:r>
    </w:p>
    <w:p w14:paraId="257494CB" w14:textId="77777777" w:rsidR="000B2856" w:rsidRPr="00BA1936" w:rsidRDefault="000B2856" w:rsidP="000B2856">
      <w:pPr>
        <w:pStyle w:val="Sarakstarindkopa"/>
        <w:spacing w:after="0" w:line="240" w:lineRule="auto"/>
        <w:rPr>
          <w:rFonts w:ascii="Times New Roman" w:hAnsi="Times New Roman"/>
          <w:szCs w:val="24"/>
        </w:rPr>
      </w:pPr>
    </w:p>
    <w:p w14:paraId="047D01DF" w14:textId="77777777" w:rsidR="000B2856" w:rsidRDefault="000B2856" w:rsidP="000B2856">
      <w:pPr>
        <w:pStyle w:val="Sarakstarindkopa"/>
        <w:numPr>
          <w:ilvl w:val="0"/>
          <w:numId w:val="1"/>
        </w:numPr>
        <w:spacing w:after="0" w:line="240" w:lineRule="auto"/>
        <w:ind w:left="284" w:hanging="284"/>
        <w:jc w:val="both"/>
        <w:rPr>
          <w:rFonts w:ascii="Times New Roman" w:hAnsi="Times New Roman"/>
          <w:szCs w:val="24"/>
        </w:rPr>
      </w:pPr>
      <w:r>
        <w:rPr>
          <w:rFonts w:ascii="Times New Roman" w:hAnsi="Times New Roman"/>
          <w:szCs w:val="24"/>
        </w:rPr>
        <w:t>Svītrot 17. punktu.</w:t>
      </w:r>
    </w:p>
    <w:p w14:paraId="4ABD7E7C" w14:textId="77777777" w:rsidR="000B2856" w:rsidRPr="003D72C3" w:rsidRDefault="000B2856" w:rsidP="000B2856">
      <w:pPr>
        <w:pStyle w:val="Sarakstarindkopa"/>
        <w:spacing w:after="0" w:line="240" w:lineRule="auto"/>
        <w:rPr>
          <w:rFonts w:ascii="Times New Roman" w:hAnsi="Times New Roman"/>
          <w:szCs w:val="24"/>
        </w:rPr>
      </w:pPr>
    </w:p>
    <w:p w14:paraId="62AA36E8" w14:textId="77777777" w:rsidR="000B2856" w:rsidRDefault="000B2856" w:rsidP="000B2856">
      <w:pPr>
        <w:pStyle w:val="Sarakstarindkopa"/>
        <w:numPr>
          <w:ilvl w:val="0"/>
          <w:numId w:val="1"/>
        </w:numPr>
        <w:spacing w:after="0" w:line="240" w:lineRule="auto"/>
        <w:ind w:left="284" w:hanging="284"/>
        <w:jc w:val="both"/>
        <w:rPr>
          <w:rFonts w:ascii="Times New Roman" w:hAnsi="Times New Roman"/>
          <w:szCs w:val="24"/>
        </w:rPr>
      </w:pPr>
      <w:r>
        <w:rPr>
          <w:rFonts w:ascii="Times New Roman" w:hAnsi="Times New Roman"/>
          <w:szCs w:val="24"/>
        </w:rPr>
        <w:t>Svītrot 21. punktu.</w:t>
      </w:r>
    </w:p>
    <w:p w14:paraId="370956A5" w14:textId="77777777" w:rsidR="000B2856" w:rsidRPr="006623AE" w:rsidRDefault="000B2856" w:rsidP="000B2856">
      <w:pPr>
        <w:pStyle w:val="Sarakstarindkopa"/>
        <w:spacing w:after="0" w:line="240" w:lineRule="auto"/>
        <w:rPr>
          <w:rFonts w:ascii="Times New Roman" w:hAnsi="Times New Roman"/>
          <w:szCs w:val="24"/>
        </w:rPr>
      </w:pPr>
    </w:p>
    <w:p w14:paraId="7C4DD526" w14:textId="77777777" w:rsidR="000B2856" w:rsidRDefault="000B2856" w:rsidP="000B2856">
      <w:pPr>
        <w:pStyle w:val="Sarakstarindkopa"/>
        <w:numPr>
          <w:ilvl w:val="0"/>
          <w:numId w:val="1"/>
        </w:numPr>
        <w:spacing w:after="0" w:line="240" w:lineRule="auto"/>
        <w:ind w:left="284" w:hanging="284"/>
        <w:jc w:val="both"/>
        <w:rPr>
          <w:rFonts w:ascii="Times New Roman" w:hAnsi="Times New Roman"/>
          <w:szCs w:val="24"/>
        </w:rPr>
      </w:pPr>
      <w:r>
        <w:rPr>
          <w:rFonts w:ascii="Times New Roman" w:hAnsi="Times New Roman"/>
          <w:szCs w:val="24"/>
        </w:rPr>
        <w:t>Svītrot 22.13. un 22.15. apakšpunktu.</w:t>
      </w:r>
    </w:p>
    <w:p w14:paraId="50F71182" w14:textId="77777777" w:rsidR="000B2856" w:rsidRPr="006623AE" w:rsidRDefault="000B2856" w:rsidP="000B2856">
      <w:pPr>
        <w:pStyle w:val="Sarakstarindkopa"/>
        <w:spacing w:after="0" w:line="240" w:lineRule="auto"/>
        <w:rPr>
          <w:rFonts w:ascii="Times New Roman" w:hAnsi="Times New Roman"/>
          <w:szCs w:val="24"/>
        </w:rPr>
      </w:pPr>
    </w:p>
    <w:p w14:paraId="31678810" w14:textId="77777777" w:rsidR="000B2856" w:rsidRDefault="000B2856" w:rsidP="000B2856">
      <w:pPr>
        <w:pStyle w:val="Sarakstarindkopa"/>
        <w:numPr>
          <w:ilvl w:val="0"/>
          <w:numId w:val="1"/>
        </w:numPr>
        <w:spacing w:after="0" w:line="240" w:lineRule="auto"/>
        <w:ind w:left="426" w:hanging="426"/>
        <w:jc w:val="both"/>
        <w:rPr>
          <w:rFonts w:ascii="Times New Roman" w:hAnsi="Times New Roman"/>
          <w:szCs w:val="24"/>
        </w:rPr>
      </w:pPr>
      <w:r>
        <w:rPr>
          <w:rFonts w:ascii="Times New Roman" w:hAnsi="Times New Roman"/>
          <w:szCs w:val="24"/>
        </w:rPr>
        <w:t>Papildināt ar jaunu 22.15.</w:t>
      </w:r>
      <w:r w:rsidRPr="00CC4DAB">
        <w:rPr>
          <w:rFonts w:ascii="Times New Roman" w:hAnsi="Times New Roman"/>
          <w:szCs w:val="24"/>
          <w:vertAlign w:val="superscript"/>
        </w:rPr>
        <w:t>1</w:t>
      </w:r>
      <w:r>
        <w:rPr>
          <w:rFonts w:ascii="Times New Roman" w:hAnsi="Times New Roman"/>
          <w:szCs w:val="24"/>
        </w:rPr>
        <w:t xml:space="preserve"> punktu:</w:t>
      </w:r>
    </w:p>
    <w:p w14:paraId="6BDB8D80" w14:textId="77777777" w:rsidR="000B2856" w:rsidRPr="000253DF" w:rsidRDefault="000B2856" w:rsidP="000B2856">
      <w:pPr>
        <w:spacing w:after="0" w:line="240" w:lineRule="auto"/>
        <w:ind w:left="284"/>
        <w:jc w:val="both"/>
        <w:rPr>
          <w:rFonts w:eastAsia="Calibri" w:cs="Times New Roman"/>
          <w:szCs w:val="24"/>
        </w:rPr>
      </w:pPr>
      <w:r w:rsidRPr="000253DF">
        <w:rPr>
          <w:rFonts w:eastAsia="Calibri" w:cs="Times New Roman"/>
          <w:szCs w:val="24"/>
        </w:rPr>
        <w:t>“22.15.</w:t>
      </w:r>
      <w:r w:rsidRPr="00CC4DAB">
        <w:rPr>
          <w:rFonts w:eastAsia="Calibri" w:cs="Times New Roman"/>
          <w:szCs w:val="24"/>
          <w:vertAlign w:val="superscript"/>
        </w:rPr>
        <w:t>1</w:t>
      </w:r>
      <w:r w:rsidRPr="000253DF">
        <w:rPr>
          <w:rFonts w:eastAsia="Calibri" w:cs="Times New Roman"/>
          <w:szCs w:val="24"/>
        </w:rPr>
        <w:t xml:space="preserve"> Veclaicenes un </w:t>
      </w:r>
      <w:proofErr w:type="spellStart"/>
      <w:r w:rsidRPr="000253DF">
        <w:rPr>
          <w:rFonts w:eastAsia="Calibri" w:cs="Times New Roman"/>
          <w:szCs w:val="24"/>
        </w:rPr>
        <w:t>Ziemera</w:t>
      </w:r>
      <w:proofErr w:type="spellEnd"/>
      <w:r w:rsidRPr="000253DF">
        <w:rPr>
          <w:rFonts w:eastAsia="Calibri" w:cs="Times New Roman"/>
          <w:szCs w:val="24"/>
        </w:rPr>
        <w:t xml:space="preserve"> pagastu apvienības pārvalde, kuras sastāvā ir:</w:t>
      </w:r>
    </w:p>
    <w:p w14:paraId="60D05079" w14:textId="77777777" w:rsidR="000B2856" w:rsidRPr="000253DF" w:rsidRDefault="000B2856" w:rsidP="000B2856">
      <w:pPr>
        <w:spacing w:after="0" w:line="240" w:lineRule="auto"/>
        <w:ind w:left="284"/>
        <w:jc w:val="both"/>
        <w:rPr>
          <w:rFonts w:eastAsia="Calibri" w:cs="Times New Roman"/>
          <w:szCs w:val="24"/>
        </w:rPr>
      </w:pPr>
      <w:bookmarkStart w:id="0" w:name="_Hlk87271672"/>
      <w:r w:rsidRPr="000253DF">
        <w:rPr>
          <w:rFonts w:eastAsia="Calibri" w:cs="Times New Roman"/>
          <w:szCs w:val="24"/>
        </w:rPr>
        <w:t>22.15.</w:t>
      </w:r>
      <w:r w:rsidRPr="00CC4DAB">
        <w:rPr>
          <w:rFonts w:eastAsia="Calibri" w:cs="Times New Roman"/>
          <w:szCs w:val="24"/>
          <w:vertAlign w:val="superscript"/>
        </w:rPr>
        <w:t>1</w:t>
      </w:r>
      <w:r w:rsidRPr="000253DF">
        <w:rPr>
          <w:rFonts w:eastAsia="Calibri" w:cs="Times New Roman"/>
          <w:szCs w:val="24"/>
        </w:rPr>
        <w:t> 1. </w:t>
      </w:r>
      <w:bookmarkEnd w:id="0"/>
      <w:r w:rsidRPr="000253DF">
        <w:rPr>
          <w:rFonts w:eastAsia="Calibri" w:cs="Times New Roman"/>
          <w:szCs w:val="24"/>
        </w:rPr>
        <w:t>Māriņkalna bibliotēka,</w:t>
      </w:r>
    </w:p>
    <w:p w14:paraId="32AC1E3B" w14:textId="77777777" w:rsidR="000B2856" w:rsidRPr="000253DF" w:rsidRDefault="000B2856" w:rsidP="000B2856">
      <w:pPr>
        <w:spacing w:after="0" w:line="240" w:lineRule="auto"/>
        <w:ind w:left="284"/>
        <w:jc w:val="both"/>
        <w:rPr>
          <w:rFonts w:eastAsia="Calibri" w:cs="Times New Roman"/>
          <w:szCs w:val="24"/>
        </w:rPr>
      </w:pPr>
      <w:r w:rsidRPr="000253DF">
        <w:rPr>
          <w:rFonts w:eastAsia="Calibri" w:cs="Times New Roman"/>
          <w:szCs w:val="24"/>
        </w:rPr>
        <w:t>22.15.</w:t>
      </w:r>
      <w:r w:rsidRPr="00CC4DAB">
        <w:rPr>
          <w:rFonts w:eastAsia="Calibri" w:cs="Times New Roman"/>
          <w:szCs w:val="24"/>
          <w:vertAlign w:val="superscript"/>
        </w:rPr>
        <w:t>1</w:t>
      </w:r>
      <w:r w:rsidRPr="000253DF">
        <w:rPr>
          <w:rFonts w:eastAsia="Calibri" w:cs="Times New Roman"/>
          <w:szCs w:val="24"/>
        </w:rPr>
        <w:t> 2. Veclaicenes bibliotēka,</w:t>
      </w:r>
    </w:p>
    <w:p w14:paraId="101082F8" w14:textId="77777777" w:rsidR="000B2856" w:rsidRPr="000253DF" w:rsidRDefault="000B2856" w:rsidP="000B2856">
      <w:pPr>
        <w:spacing w:after="0" w:line="240" w:lineRule="auto"/>
        <w:ind w:left="284"/>
        <w:jc w:val="both"/>
        <w:rPr>
          <w:rFonts w:eastAsia="Calibri" w:cs="Times New Roman"/>
          <w:szCs w:val="24"/>
        </w:rPr>
      </w:pPr>
      <w:r w:rsidRPr="000253DF">
        <w:rPr>
          <w:rFonts w:eastAsia="Calibri" w:cs="Times New Roman"/>
          <w:szCs w:val="24"/>
        </w:rPr>
        <w:t>22.15.</w:t>
      </w:r>
      <w:r w:rsidRPr="00CC4DAB">
        <w:rPr>
          <w:rFonts w:eastAsia="Calibri" w:cs="Times New Roman"/>
          <w:szCs w:val="24"/>
          <w:vertAlign w:val="superscript"/>
        </w:rPr>
        <w:t>1</w:t>
      </w:r>
      <w:r w:rsidRPr="000253DF">
        <w:rPr>
          <w:rFonts w:eastAsia="Calibri" w:cs="Times New Roman"/>
          <w:szCs w:val="24"/>
        </w:rPr>
        <w:t> </w:t>
      </w:r>
      <w:r>
        <w:rPr>
          <w:rFonts w:eastAsia="Calibri" w:cs="Times New Roman"/>
          <w:szCs w:val="24"/>
        </w:rPr>
        <w:t>3</w:t>
      </w:r>
      <w:r w:rsidRPr="000253DF">
        <w:rPr>
          <w:rFonts w:eastAsia="Calibri" w:cs="Times New Roman"/>
          <w:szCs w:val="24"/>
        </w:rPr>
        <w:t xml:space="preserve">. Māriņkalna tautas nams, </w:t>
      </w:r>
    </w:p>
    <w:p w14:paraId="647D2D26" w14:textId="77777777" w:rsidR="000B2856" w:rsidRDefault="000B2856" w:rsidP="000B2856">
      <w:pPr>
        <w:spacing w:after="0" w:line="240" w:lineRule="auto"/>
        <w:ind w:left="284"/>
        <w:jc w:val="both"/>
        <w:rPr>
          <w:szCs w:val="24"/>
        </w:rPr>
      </w:pPr>
      <w:r w:rsidRPr="000253DF">
        <w:rPr>
          <w:rFonts w:eastAsia="Calibri" w:cs="Times New Roman"/>
          <w:szCs w:val="24"/>
        </w:rPr>
        <w:t>22.15.</w:t>
      </w:r>
      <w:r w:rsidRPr="00CC4DAB">
        <w:rPr>
          <w:rFonts w:eastAsia="Calibri" w:cs="Times New Roman"/>
          <w:szCs w:val="24"/>
          <w:vertAlign w:val="superscript"/>
        </w:rPr>
        <w:t>1</w:t>
      </w:r>
      <w:r w:rsidRPr="000253DF">
        <w:rPr>
          <w:rFonts w:eastAsia="Calibri" w:cs="Times New Roman"/>
          <w:szCs w:val="24"/>
        </w:rPr>
        <w:t> </w:t>
      </w:r>
      <w:r>
        <w:rPr>
          <w:rFonts w:eastAsia="Calibri" w:cs="Times New Roman"/>
          <w:szCs w:val="24"/>
        </w:rPr>
        <w:t>4</w:t>
      </w:r>
      <w:r w:rsidRPr="000253DF">
        <w:rPr>
          <w:rFonts w:eastAsia="Calibri" w:cs="Times New Roman"/>
          <w:szCs w:val="24"/>
        </w:rPr>
        <w:t>. Veclaicenes tautas nams</w:t>
      </w:r>
      <w:r>
        <w:rPr>
          <w:szCs w:val="24"/>
        </w:rPr>
        <w:t>.”</w:t>
      </w:r>
    </w:p>
    <w:p w14:paraId="3139E877" w14:textId="77777777" w:rsidR="000B2856" w:rsidRDefault="000B2856" w:rsidP="000B2856">
      <w:pPr>
        <w:spacing w:after="0" w:line="240" w:lineRule="auto"/>
        <w:jc w:val="both"/>
        <w:rPr>
          <w:szCs w:val="24"/>
        </w:rPr>
      </w:pPr>
    </w:p>
    <w:p w14:paraId="1597F905" w14:textId="77777777" w:rsidR="000B2856" w:rsidRPr="00CC4DAB" w:rsidRDefault="000B2856" w:rsidP="000B2856">
      <w:pPr>
        <w:pStyle w:val="Sarakstarindkopa"/>
        <w:numPr>
          <w:ilvl w:val="0"/>
          <w:numId w:val="1"/>
        </w:numPr>
        <w:spacing w:after="0" w:line="240" w:lineRule="auto"/>
        <w:ind w:left="426" w:hanging="426"/>
        <w:jc w:val="both"/>
        <w:rPr>
          <w:rFonts w:ascii="Times New Roman" w:hAnsi="Times New Roman"/>
          <w:szCs w:val="24"/>
        </w:rPr>
      </w:pPr>
      <w:r w:rsidRPr="00CC4DAB">
        <w:rPr>
          <w:rFonts w:ascii="Times New Roman" w:hAnsi="Times New Roman"/>
          <w:szCs w:val="24"/>
        </w:rPr>
        <w:t>22.53.</w:t>
      </w:r>
      <w:r w:rsidRPr="00CC4DAB">
        <w:rPr>
          <w:rFonts w:ascii="Times New Roman" w:hAnsi="Times New Roman"/>
          <w:szCs w:val="24"/>
          <w:vertAlign w:val="superscript"/>
        </w:rPr>
        <w:t>1</w:t>
      </w:r>
      <w:r w:rsidRPr="00CC4DAB">
        <w:rPr>
          <w:rFonts w:ascii="Times New Roman" w:hAnsi="Times New Roman"/>
          <w:szCs w:val="24"/>
        </w:rPr>
        <w:t xml:space="preserve"> punktā:</w:t>
      </w:r>
    </w:p>
    <w:p w14:paraId="0238FBDA" w14:textId="77777777" w:rsidR="000B2856" w:rsidRDefault="000B2856" w:rsidP="000B2856">
      <w:pPr>
        <w:spacing w:after="0" w:line="240" w:lineRule="auto"/>
        <w:ind w:firstLine="426"/>
        <w:jc w:val="both"/>
        <w:rPr>
          <w:szCs w:val="24"/>
        </w:rPr>
      </w:pPr>
      <w:r>
        <w:rPr>
          <w:szCs w:val="24"/>
        </w:rPr>
        <w:t>svītrot 22.53.</w:t>
      </w:r>
      <w:r w:rsidRPr="00CC4DAB">
        <w:rPr>
          <w:szCs w:val="24"/>
          <w:vertAlign w:val="superscript"/>
        </w:rPr>
        <w:t>1</w:t>
      </w:r>
      <w:r>
        <w:rPr>
          <w:szCs w:val="24"/>
        </w:rPr>
        <w:t>1. punktā vārdus “Sociālo lietu pārvaldes”;</w:t>
      </w:r>
    </w:p>
    <w:p w14:paraId="5F22952A" w14:textId="77777777" w:rsidR="000B2856" w:rsidRDefault="000B2856" w:rsidP="000B2856">
      <w:pPr>
        <w:spacing w:after="0" w:line="240" w:lineRule="auto"/>
        <w:ind w:firstLine="426"/>
        <w:jc w:val="both"/>
        <w:rPr>
          <w:szCs w:val="24"/>
        </w:rPr>
      </w:pPr>
      <w:r>
        <w:rPr>
          <w:szCs w:val="24"/>
        </w:rPr>
        <w:t xml:space="preserve">svītrot </w:t>
      </w:r>
      <w:bookmarkStart w:id="1" w:name="_Hlk87272703"/>
      <w:r>
        <w:rPr>
          <w:szCs w:val="24"/>
        </w:rPr>
        <w:t>22.53.</w:t>
      </w:r>
      <w:r w:rsidRPr="00CC4DAB">
        <w:rPr>
          <w:szCs w:val="24"/>
          <w:vertAlign w:val="superscript"/>
        </w:rPr>
        <w:t>1</w:t>
      </w:r>
      <w:r>
        <w:rPr>
          <w:szCs w:val="24"/>
        </w:rPr>
        <w:t>4.2. </w:t>
      </w:r>
      <w:bookmarkEnd w:id="1"/>
      <w:r>
        <w:rPr>
          <w:szCs w:val="24"/>
        </w:rPr>
        <w:t>punktu;</w:t>
      </w:r>
    </w:p>
    <w:p w14:paraId="4CC1443A" w14:textId="77777777" w:rsidR="000B2856" w:rsidRDefault="000B2856" w:rsidP="000B2856">
      <w:pPr>
        <w:spacing w:after="0" w:line="240" w:lineRule="auto"/>
        <w:ind w:firstLine="426"/>
        <w:jc w:val="both"/>
        <w:rPr>
          <w:szCs w:val="24"/>
        </w:rPr>
      </w:pPr>
      <w:r>
        <w:rPr>
          <w:szCs w:val="24"/>
        </w:rPr>
        <w:t xml:space="preserve">papildināt ar </w:t>
      </w:r>
      <w:bookmarkStart w:id="2" w:name="_Hlk87272759"/>
      <w:r>
        <w:rPr>
          <w:szCs w:val="24"/>
        </w:rPr>
        <w:t>22.53.</w:t>
      </w:r>
      <w:r w:rsidRPr="00CC4DAB">
        <w:rPr>
          <w:szCs w:val="24"/>
          <w:vertAlign w:val="superscript"/>
        </w:rPr>
        <w:t>1</w:t>
      </w:r>
      <w:r>
        <w:rPr>
          <w:szCs w:val="24"/>
        </w:rPr>
        <w:t>4.5., 22.53.</w:t>
      </w:r>
      <w:r w:rsidRPr="00CC4DAB">
        <w:rPr>
          <w:szCs w:val="24"/>
          <w:vertAlign w:val="superscript"/>
        </w:rPr>
        <w:t>1</w:t>
      </w:r>
      <w:r>
        <w:rPr>
          <w:szCs w:val="24"/>
        </w:rPr>
        <w:t>4.6., 22.53.</w:t>
      </w:r>
      <w:r w:rsidRPr="00CC4DAB">
        <w:rPr>
          <w:szCs w:val="24"/>
          <w:vertAlign w:val="superscript"/>
        </w:rPr>
        <w:t>1</w:t>
      </w:r>
      <w:r>
        <w:rPr>
          <w:szCs w:val="24"/>
        </w:rPr>
        <w:t>4.7.</w:t>
      </w:r>
      <w:bookmarkEnd w:id="2"/>
      <w:r>
        <w:rPr>
          <w:szCs w:val="24"/>
        </w:rPr>
        <w:t> punktu:</w:t>
      </w:r>
    </w:p>
    <w:p w14:paraId="2D6338FE" w14:textId="77777777" w:rsidR="000B2856" w:rsidRDefault="000B2856" w:rsidP="000B2856">
      <w:pPr>
        <w:spacing w:after="0" w:line="240" w:lineRule="auto"/>
        <w:ind w:firstLine="426"/>
        <w:jc w:val="both"/>
        <w:rPr>
          <w:szCs w:val="24"/>
        </w:rPr>
      </w:pPr>
      <w:r>
        <w:rPr>
          <w:szCs w:val="24"/>
        </w:rPr>
        <w:t>“22.53.</w:t>
      </w:r>
      <w:r w:rsidRPr="00CC4DAB">
        <w:rPr>
          <w:szCs w:val="24"/>
          <w:vertAlign w:val="superscript"/>
        </w:rPr>
        <w:t>1</w:t>
      </w:r>
      <w:r>
        <w:rPr>
          <w:szCs w:val="24"/>
        </w:rPr>
        <w:t>4.5. Dienas centrs “Saules zaķi”;</w:t>
      </w:r>
    </w:p>
    <w:p w14:paraId="528E2C88" w14:textId="77777777" w:rsidR="000B2856" w:rsidRDefault="000B2856" w:rsidP="000B2856">
      <w:pPr>
        <w:spacing w:after="0" w:line="240" w:lineRule="auto"/>
        <w:ind w:firstLine="426"/>
        <w:jc w:val="both"/>
        <w:rPr>
          <w:szCs w:val="24"/>
        </w:rPr>
      </w:pPr>
      <w:r>
        <w:rPr>
          <w:szCs w:val="24"/>
        </w:rPr>
        <w:t>22.53.</w:t>
      </w:r>
      <w:r w:rsidRPr="00CC4DAB">
        <w:rPr>
          <w:szCs w:val="24"/>
          <w:vertAlign w:val="superscript"/>
        </w:rPr>
        <w:t>1</w:t>
      </w:r>
      <w:r>
        <w:rPr>
          <w:szCs w:val="24"/>
        </w:rPr>
        <w:t>4.6. Specializētās darbnīcas;</w:t>
      </w:r>
    </w:p>
    <w:p w14:paraId="334F4974" w14:textId="77777777" w:rsidR="000B2856" w:rsidRDefault="000B2856" w:rsidP="000B2856">
      <w:pPr>
        <w:spacing w:after="0" w:line="240" w:lineRule="auto"/>
        <w:ind w:firstLine="426"/>
        <w:jc w:val="both"/>
        <w:rPr>
          <w:szCs w:val="24"/>
        </w:rPr>
      </w:pPr>
      <w:r>
        <w:rPr>
          <w:szCs w:val="24"/>
        </w:rPr>
        <w:t>22.53.</w:t>
      </w:r>
      <w:r w:rsidRPr="00CC4DAB">
        <w:rPr>
          <w:szCs w:val="24"/>
          <w:vertAlign w:val="superscript"/>
        </w:rPr>
        <w:t>1</w:t>
      </w:r>
      <w:r>
        <w:rPr>
          <w:szCs w:val="24"/>
        </w:rPr>
        <w:t>4.7. Sociālās rehabilitācijas centrs”.</w:t>
      </w:r>
    </w:p>
    <w:p w14:paraId="03C1BE23" w14:textId="77777777" w:rsidR="000B2856" w:rsidRDefault="000B2856" w:rsidP="000B2856">
      <w:pPr>
        <w:spacing w:after="0" w:line="240" w:lineRule="auto"/>
        <w:jc w:val="both"/>
        <w:rPr>
          <w:szCs w:val="24"/>
        </w:rPr>
      </w:pPr>
    </w:p>
    <w:p w14:paraId="3AA7F3C5" w14:textId="77777777" w:rsidR="000B2856" w:rsidRDefault="000B2856" w:rsidP="000B2856">
      <w:pPr>
        <w:pStyle w:val="Sarakstarindkopa"/>
        <w:numPr>
          <w:ilvl w:val="0"/>
          <w:numId w:val="1"/>
        </w:numPr>
        <w:spacing w:after="0" w:line="240" w:lineRule="auto"/>
        <w:ind w:left="426" w:hanging="426"/>
        <w:jc w:val="both"/>
        <w:rPr>
          <w:rFonts w:ascii="Times New Roman" w:hAnsi="Times New Roman"/>
          <w:szCs w:val="24"/>
        </w:rPr>
      </w:pPr>
      <w:r>
        <w:rPr>
          <w:rFonts w:ascii="Times New Roman" w:hAnsi="Times New Roman"/>
          <w:szCs w:val="24"/>
        </w:rPr>
        <w:t>Saistošo noteikumu 1., 2., 3., 4., 8., 9., 10. punkts stājas spēkā 2022. gada 1. janvārī.</w:t>
      </w:r>
    </w:p>
    <w:p w14:paraId="4F27E098" w14:textId="49FCED2A" w:rsidR="000B2856" w:rsidRPr="000B2856" w:rsidRDefault="000B2856" w:rsidP="000B2856">
      <w:pPr>
        <w:spacing w:after="0" w:line="240" w:lineRule="auto"/>
        <w:jc w:val="center"/>
      </w:pPr>
      <w:r>
        <w:br w:type="page"/>
      </w:r>
      <w:r>
        <w:rPr>
          <w:b/>
        </w:rPr>
        <w:lastRenderedPageBreak/>
        <w:t xml:space="preserve">Alūksnes novada pašvaldības domes </w:t>
      </w:r>
      <w:r w:rsidRPr="0015558A">
        <w:rPr>
          <w:b/>
        </w:rPr>
        <w:t>saistošo noteikumu</w:t>
      </w:r>
      <w:r>
        <w:rPr>
          <w:b/>
        </w:rPr>
        <w:t xml:space="preserve"> Nr. ___/2021</w:t>
      </w:r>
    </w:p>
    <w:p w14:paraId="47E002EE" w14:textId="77777777" w:rsidR="000B2856" w:rsidRPr="0015558A" w:rsidRDefault="000B2856" w:rsidP="000B2856">
      <w:pPr>
        <w:spacing w:after="0" w:line="240" w:lineRule="auto"/>
        <w:jc w:val="center"/>
        <w:rPr>
          <w:b/>
          <w:sz w:val="28"/>
          <w:szCs w:val="28"/>
        </w:rPr>
      </w:pPr>
      <w:r>
        <w:rPr>
          <w:b/>
        </w:rPr>
        <w:t>“</w:t>
      </w:r>
      <w:r w:rsidRPr="00AF1A2C">
        <w:rPr>
          <w:b/>
        </w:rPr>
        <w:t>Grozījum</w:t>
      </w:r>
      <w:r>
        <w:rPr>
          <w:b/>
        </w:rPr>
        <w:t>i</w:t>
      </w:r>
      <w:r w:rsidRPr="00AF1A2C">
        <w:rPr>
          <w:b/>
        </w:rPr>
        <w:t xml:space="preserve"> Alūksnes novada</w:t>
      </w:r>
      <w:r>
        <w:rPr>
          <w:b/>
        </w:rPr>
        <w:t xml:space="preserve"> pašvaldības domes 2013. gada 25. jūlija saistošajos noteikumos Nr. 18/2013 “Alūksnes novada</w:t>
      </w:r>
      <w:r w:rsidRPr="00AF1A2C">
        <w:rPr>
          <w:b/>
        </w:rPr>
        <w:t xml:space="preserve"> pašvaldības nolikum</w:t>
      </w:r>
      <w:r>
        <w:rPr>
          <w:b/>
        </w:rPr>
        <w:t>s</w:t>
      </w:r>
      <w:r w:rsidRPr="00AF1A2C">
        <w:rPr>
          <w:b/>
        </w:rPr>
        <w:t>”</w:t>
      </w:r>
      <w:r>
        <w:rPr>
          <w:b/>
        </w:rPr>
        <w:t>”</w:t>
      </w:r>
      <w:r w:rsidRPr="00AF1A2C">
        <w:rPr>
          <w:b/>
        </w:rPr>
        <w:t xml:space="preserve"> </w:t>
      </w:r>
    </w:p>
    <w:p w14:paraId="77DD4AE3" w14:textId="77777777" w:rsidR="000B2856" w:rsidRPr="0015558A" w:rsidRDefault="000B2856" w:rsidP="000B2856">
      <w:pPr>
        <w:spacing w:after="0" w:line="240" w:lineRule="auto"/>
        <w:jc w:val="center"/>
      </w:pPr>
      <w:r>
        <w:rPr>
          <w:b/>
        </w:rPr>
        <w:t>p</w:t>
      </w:r>
      <w:r w:rsidRPr="0015558A">
        <w:rPr>
          <w:b/>
        </w:rPr>
        <w:t>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0B2856" w:rsidRPr="0015558A" w14:paraId="25BCFCFD" w14:textId="77777777" w:rsidTr="00332C32">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F8ECBEA" w14:textId="77777777" w:rsidR="000B2856" w:rsidRPr="0015558A" w:rsidRDefault="000B2856" w:rsidP="00332C32">
            <w:pPr>
              <w:shd w:val="clear" w:color="auto" w:fill="FFFFFF"/>
              <w:spacing w:after="0" w:line="240" w:lineRule="auto"/>
              <w:jc w:val="center"/>
            </w:pPr>
            <w:smartTag w:uri="schemas-tilde-lv/tildestengine" w:element="veidnes">
              <w:smartTagPr>
                <w:attr w:name="text" w:val="Paskaidrojuma"/>
                <w:attr w:name="id" w:val="-1"/>
                <w:attr w:name="baseform" w:val="paskaidrojum|s"/>
              </w:smartTagPr>
              <w:r w:rsidRPr="0015558A">
                <w:rPr>
                  <w:b/>
                  <w:bCs/>
                </w:rPr>
                <w:t>Paskaidrojuma</w:t>
              </w:r>
            </w:smartTag>
            <w:r w:rsidRPr="0015558A">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2431CE1D" w14:textId="77777777" w:rsidR="000B2856" w:rsidRPr="0015558A" w:rsidRDefault="000B2856" w:rsidP="00332C32">
            <w:pPr>
              <w:shd w:val="clear" w:color="auto" w:fill="FFFFFF"/>
              <w:spacing w:after="0" w:line="240" w:lineRule="auto"/>
              <w:jc w:val="center"/>
            </w:pPr>
            <w:r w:rsidRPr="0015558A">
              <w:rPr>
                <w:b/>
                <w:bCs/>
              </w:rPr>
              <w:t>Norādāmā informācija</w:t>
            </w:r>
          </w:p>
        </w:tc>
      </w:tr>
      <w:tr w:rsidR="000B2856" w:rsidRPr="0015558A" w14:paraId="1A17E101" w14:textId="77777777" w:rsidTr="00332C32">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E423034" w14:textId="77777777" w:rsidR="000B2856" w:rsidRPr="0015558A" w:rsidRDefault="000B2856" w:rsidP="00332C32">
            <w:pPr>
              <w:spacing w:after="0" w:line="240" w:lineRule="auto"/>
            </w:pPr>
            <w:r w:rsidRPr="0015558A">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2C4020DF" w14:textId="77777777" w:rsidR="000B2856" w:rsidRDefault="000B2856" w:rsidP="00332C32">
            <w:pPr>
              <w:spacing w:after="0" w:line="240" w:lineRule="auto"/>
              <w:jc w:val="both"/>
            </w:pPr>
            <w:r>
              <w:t>Vides aizsardzības un reģionālās attīstības ministrija (turpmāk – ministrija) ar 18.06.2021. vēstuli Nr. 1-132/5883 “Par pašvaldības administratīvo struktūru un pašvaldības nolikumu” ir vērsusi visu pašvaldību uzmanību uz vairākiem aspektiem, kas jāņem vērā, nosakot pašvaldības administratīvo struktūru un apstiprinot pašvaldības nolikumu.</w:t>
            </w:r>
          </w:p>
          <w:p w14:paraId="3339C6A8" w14:textId="77777777" w:rsidR="000B2856" w:rsidRDefault="000B2856" w:rsidP="00332C32">
            <w:pPr>
              <w:spacing w:after="0" w:line="240" w:lineRule="auto"/>
              <w:jc w:val="both"/>
            </w:pPr>
            <w:r>
              <w:t>Ministrija cita starpā norāda, ka pašvaldības, kā atvasinātas publiskas personas, ir nosauktas atbilstoši attiecīgās administratīvās teritorijas nosaukumam. Pašvaldības nosaukums satur vārdu “pašvaldība”, tādēļ vārds “pašvaldība” nav izmantojams arī pašvaldības iestādes (piemēram, centrālās administrācijas iestādes) nosaukšanai.</w:t>
            </w:r>
          </w:p>
          <w:p w14:paraId="4A86E4FC" w14:textId="77777777" w:rsidR="000B2856" w:rsidRDefault="000B2856" w:rsidP="00332C32">
            <w:pPr>
              <w:spacing w:after="0" w:line="240" w:lineRule="auto"/>
              <w:jc w:val="both"/>
            </w:pPr>
            <w:r>
              <w:t xml:space="preserve">Ministrija vienlaicīgi arī norāda uz pašvaldības tiesībām nolikumā noteikt novada teritoriālo dalījumu, kas sastāv no vairākiem pagastiem vai no pagasta un pilsētas, šādu teritoriālo vienību apzīmējot ar “apvienība”. </w:t>
            </w:r>
          </w:p>
          <w:p w14:paraId="340B7C1A" w14:textId="77777777" w:rsidR="000B2856" w:rsidRDefault="000B2856" w:rsidP="00332C32">
            <w:pPr>
              <w:spacing w:after="0" w:line="240" w:lineRule="auto"/>
              <w:jc w:val="both"/>
              <w:rPr>
                <w:szCs w:val="24"/>
              </w:rPr>
            </w:pPr>
            <w:r>
              <w:t xml:space="preserve">Vides aizsardzības un reģionālās attīstības ministrija, izvērtējot iepriekš pieņemtos grozījumus Alūksnes novada pašvaldības nolikumā, 06.08.2021. atzinumā Nr. 1-18/7361 ir norādījusi uz tā neatbilstību </w:t>
            </w:r>
            <w:r>
              <w:rPr>
                <w:szCs w:val="24"/>
              </w:rPr>
              <w:t>likuma “Par pašvaldībām” 69. panta pirmās daļas 2. punktam, kas noteic, ka saistošus rīkojumus pašvaldības iestāžu vadītājiem dod izpilddirektors, jo</w:t>
            </w:r>
            <w:r>
              <w:t xml:space="preserve"> nolikumā noteikta arī domes priekšsēdētāja vietnieku kompetence dot darba uzdevumus pašvaldības administrācijas darbiniekiem un iestāžu vadītājiem</w:t>
            </w:r>
            <w:r>
              <w:rPr>
                <w:szCs w:val="24"/>
              </w:rPr>
              <w:t>.</w:t>
            </w:r>
          </w:p>
          <w:p w14:paraId="37A4C225" w14:textId="77777777" w:rsidR="000B2856" w:rsidRDefault="000B2856" w:rsidP="00332C32">
            <w:pPr>
              <w:spacing w:after="0" w:line="240" w:lineRule="auto"/>
              <w:jc w:val="both"/>
              <w:rPr>
                <w:szCs w:val="24"/>
              </w:rPr>
            </w:pPr>
            <w:r>
              <w:rPr>
                <w:szCs w:val="24"/>
              </w:rPr>
              <w:t>Vides aizsardzības un reģionālās attīstības ministrija atzinumā norāda, ka “likuma “Par pašvaldībām”68. panta pirmā daļa noteic, ka pašvaldības izpilddirektors nolikumā noteiktajā kārtībā patstāvīgi ir atbildīgs par pašvaldības iestāžu un pašvaldības kapitālsabiedrību darbu. Līdz ar to saistošu darba uzdevumu pašvaldības administrācijas darbiniekiem un iestāžu vadītājiem ir pašvaldības izpilddirektora kompetencē ietilpstošs uzdevums. Nedz domes priekšsēdētājs, nedz viņa vietnieks nav pilnvaroti pārņemt pašvaldības izpilddirektora un administrācijas vadītāja kompetencē esošus jautājumus.”</w:t>
            </w:r>
          </w:p>
          <w:p w14:paraId="46B8D0F8" w14:textId="77777777" w:rsidR="000B2856" w:rsidRDefault="000B2856" w:rsidP="00332C32">
            <w:pPr>
              <w:spacing w:after="0" w:line="240" w:lineRule="auto"/>
              <w:jc w:val="both"/>
              <w:rPr>
                <w:szCs w:val="24"/>
              </w:rPr>
            </w:pPr>
            <w:r>
              <w:rPr>
                <w:szCs w:val="24"/>
              </w:rPr>
              <w:t xml:space="preserve">Vienlaicīgi, likuma “Par pašvaldībām” 62. pants noteic domes priekšsēdētāja kompetenci, tostarp, atbilstoši tā 6. punktam domes priekšsēdētājs: </w:t>
            </w:r>
            <w:r w:rsidRPr="007E1BE6">
              <w:rPr>
                <w:szCs w:val="24"/>
              </w:rPr>
              <w:t>“</w:t>
            </w:r>
            <w:r w:rsidRPr="007E1BE6">
              <w:rPr>
                <w:rFonts w:cs="Times New Roman"/>
                <w:szCs w:val="24"/>
                <w:shd w:val="clear" w:color="auto" w:fill="FFFFFF"/>
              </w:rPr>
              <w:t>dod saistošus rīkojumus pašvaldības administrācijas darbiniekiem”.</w:t>
            </w:r>
            <w:r>
              <w:rPr>
                <w:rFonts w:cs="Times New Roman"/>
                <w:szCs w:val="24"/>
                <w:shd w:val="clear" w:color="auto" w:fill="FFFFFF"/>
              </w:rPr>
              <w:t xml:space="preserve"> </w:t>
            </w:r>
            <w:r>
              <w:t xml:space="preserve">Pašvaldības domes deputāta statusa likuma 8. panta pirmās daļas 3. punkts noteic, ka deputātam domē cita starpā ir pienākums izpildīt domes priekšsēdētāja norādījumus un uzdevumus. </w:t>
            </w:r>
            <w:r>
              <w:rPr>
                <w:szCs w:val="24"/>
              </w:rPr>
              <w:t xml:space="preserve">Savukārt atbilstoši </w:t>
            </w:r>
            <w:r w:rsidRPr="00A744E2">
              <w:rPr>
                <w:rFonts w:cs="Times New Roman"/>
                <w:color w:val="414142"/>
                <w:szCs w:val="24"/>
                <w:shd w:val="clear" w:color="auto" w:fill="FFFFFF"/>
              </w:rPr>
              <w:t>grozījumiem</w:t>
            </w:r>
            <w:r>
              <w:rPr>
                <w:rFonts w:cs="Times New Roman"/>
                <w:color w:val="414142"/>
                <w:szCs w:val="24"/>
                <w:shd w:val="clear" w:color="auto" w:fill="FFFFFF"/>
              </w:rPr>
              <w:t xml:space="preserve"> </w:t>
            </w:r>
            <w:r>
              <w:t xml:space="preserve">Publiskas personas kapitāla </w:t>
            </w:r>
            <w:r>
              <w:lastRenderedPageBreak/>
              <w:t>daļu un kapitālsabiedrību pārvaldības likuma 14. pantā</w:t>
            </w:r>
            <w:r w:rsidRPr="002A58A8">
              <w:rPr>
                <w:rFonts w:cs="Times New Roman"/>
                <w:szCs w:val="24"/>
                <w:shd w:val="clear" w:color="auto" w:fill="FFFFFF"/>
              </w:rPr>
              <w:t>, kas izdarīti ar </w:t>
            </w:r>
            <w:hyperlink r:id="rId5" w:tgtFrame="_blank" w:history="1">
              <w:r w:rsidRPr="002A58A8">
                <w:rPr>
                  <w:rStyle w:val="Hipersaite"/>
                  <w:rFonts w:cs="Times New Roman"/>
                  <w:szCs w:val="24"/>
                  <w:shd w:val="clear" w:color="auto" w:fill="FFFFFF"/>
                </w:rPr>
                <w:t>13.06.2019</w:t>
              </w:r>
            </w:hyperlink>
            <w:r w:rsidRPr="002A58A8">
              <w:rPr>
                <w:rFonts w:cs="Times New Roman"/>
                <w:szCs w:val="24"/>
                <w:shd w:val="clear" w:color="auto" w:fill="FFFFFF"/>
              </w:rPr>
              <w:t>. likumu, kas stājas spēkā </w:t>
            </w:r>
            <w:hyperlink r:id="rId6" w:tgtFrame="_blank" w:history="1">
              <w:r w:rsidRPr="002A58A8">
                <w:rPr>
                  <w:rStyle w:val="Hipersaite"/>
                  <w:rFonts w:cs="Times New Roman"/>
                  <w:szCs w:val="24"/>
                  <w:shd w:val="clear" w:color="auto" w:fill="FFFFFF"/>
                </w:rPr>
                <w:t>01.01.2020</w:t>
              </w:r>
            </w:hyperlink>
            <w:r w:rsidRPr="002A58A8">
              <w:rPr>
                <w:rFonts w:cs="Times New Roman"/>
                <w:szCs w:val="24"/>
              </w:rPr>
              <w:t xml:space="preserve">, </w:t>
            </w:r>
            <w:r>
              <w:rPr>
                <w:rFonts w:cs="Times New Roman"/>
                <w:szCs w:val="24"/>
              </w:rPr>
              <w:t xml:space="preserve">pašvaldības </w:t>
            </w:r>
            <w:r w:rsidRPr="002A58A8">
              <w:rPr>
                <w:rFonts w:cs="Times New Roman"/>
                <w:szCs w:val="24"/>
                <w:shd w:val="clear" w:color="auto" w:fill="FFFFFF"/>
              </w:rPr>
              <w:t>kapitāla daļu turētāja lēmumus pieņem pašvaldības izpilddirektors</w:t>
            </w:r>
            <w:r>
              <w:rPr>
                <w:rFonts w:cs="Times New Roman"/>
                <w:szCs w:val="24"/>
                <w:shd w:val="clear" w:color="auto" w:fill="FFFFFF"/>
              </w:rPr>
              <w:t>.</w:t>
            </w:r>
            <w:r w:rsidRPr="002A58A8">
              <w:t xml:space="preserve"> </w:t>
            </w:r>
          </w:p>
          <w:p w14:paraId="3B359788" w14:textId="77777777" w:rsidR="000B2856" w:rsidRDefault="000B2856" w:rsidP="00332C32">
            <w:pPr>
              <w:spacing w:after="0" w:line="240" w:lineRule="auto"/>
              <w:jc w:val="both"/>
              <w:rPr>
                <w:szCs w:val="24"/>
              </w:rPr>
            </w:pPr>
            <w:r>
              <w:rPr>
                <w:szCs w:val="24"/>
              </w:rPr>
              <w:t xml:space="preserve">Līdz ar ko, no nolikuma ir svītrojams regulējums par domes priekšsēdētāja vietnieku kompetenci dot darba uzdevumus pašvaldības administrācijai, un atbilstoši normatīvajam regulējumam precizējama domes priekšsēdētāja kompetence šajā jautājumā. </w:t>
            </w:r>
          </w:p>
          <w:p w14:paraId="1203034B" w14:textId="77777777" w:rsidR="000B2856" w:rsidRDefault="000B2856" w:rsidP="00332C32">
            <w:pPr>
              <w:spacing w:after="0" w:line="240" w:lineRule="auto"/>
              <w:jc w:val="both"/>
            </w:pPr>
            <w:r>
              <w:t xml:space="preserve"> </w:t>
            </w:r>
          </w:p>
          <w:p w14:paraId="18A20148" w14:textId="77777777" w:rsidR="000B2856" w:rsidRPr="000D4347" w:rsidRDefault="000B2856" w:rsidP="00332C32">
            <w:pPr>
              <w:spacing w:after="0" w:line="240" w:lineRule="auto"/>
              <w:jc w:val="both"/>
            </w:pPr>
            <w:r>
              <w:t>Ar Alūksnes novada domes 29.04.2021. lēmumu Nr. 102 “Par grozījumiem Alūksnes novada Sociālo lietu pārvaldes nolikumā” no iestādes Sociālās aprūpes nodaļas izslēgta viena struktūrvienība, bet ar Alūksnes novada domes 29.07.2021. lēmumu Nr. 208 “Par grozījumiem Alūksnes novada Sociālo lietu pārvaldes nolikumā”, iestādes Sociālās aprūpes nodaļa papildināta ar trīs struktūrvienībām, kas, atbilstoši vienveidīgai iestāžu strukturālās uzbūves atspoguļošanas praksei, attiecīgi norādāms arī Alūksnes novada pašvaldības nolikumā.</w:t>
            </w:r>
          </w:p>
        </w:tc>
      </w:tr>
      <w:tr w:rsidR="000B2856" w:rsidRPr="0015558A" w14:paraId="0991852A" w14:textId="77777777" w:rsidTr="00332C32">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11F9F88" w14:textId="77777777" w:rsidR="000B2856" w:rsidRPr="0015558A" w:rsidRDefault="000B2856" w:rsidP="00332C32">
            <w:pPr>
              <w:spacing w:after="0" w:line="240" w:lineRule="auto"/>
            </w:pPr>
            <w:r w:rsidRPr="0015558A">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5537F8C6" w14:textId="77777777" w:rsidR="000B2856" w:rsidRDefault="000B2856" w:rsidP="00332C32">
            <w:pPr>
              <w:spacing w:after="0" w:line="240" w:lineRule="auto"/>
              <w:jc w:val="both"/>
              <w:rPr>
                <w:rFonts w:cs="Times New Roman"/>
              </w:rPr>
            </w:pPr>
            <w:r>
              <w:rPr>
                <w:rFonts w:cs="Times New Roman"/>
              </w:rPr>
              <w:t>Ar grozījumiem pašvaldības nolikumā:</w:t>
            </w:r>
          </w:p>
          <w:p w14:paraId="5F4FB1FF" w14:textId="77777777" w:rsidR="000B2856" w:rsidRDefault="000B2856" w:rsidP="000B2856">
            <w:pPr>
              <w:pStyle w:val="Sarakstarindkopa"/>
              <w:numPr>
                <w:ilvl w:val="0"/>
                <w:numId w:val="2"/>
              </w:numPr>
              <w:spacing w:after="0" w:line="240" w:lineRule="auto"/>
              <w:ind w:left="252" w:hanging="252"/>
              <w:jc w:val="both"/>
              <w:rPr>
                <w:rFonts w:ascii="Times New Roman" w:hAnsi="Times New Roman"/>
              </w:rPr>
            </w:pPr>
            <w:r w:rsidRPr="00980396">
              <w:rPr>
                <w:rFonts w:ascii="Times New Roman" w:hAnsi="Times New Roman"/>
              </w:rPr>
              <w:t>pašvaldības iestāde “Administrācija” tiek pārdēvēta par “Centrālo administrāciju”;</w:t>
            </w:r>
          </w:p>
          <w:p w14:paraId="0F6C7D53" w14:textId="77777777" w:rsidR="000B2856" w:rsidRDefault="000B2856" w:rsidP="000B2856">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 xml:space="preserve">tiek noteikta divu teritoriālo vienību – Veclaicenes pagasta un </w:t>
            </w:r>
            <w:proofErr w:type="spellStart"/>
            <w:r>
              <w:rPr>
                <w:rFonts w:ascii="Times New Roman" w:hAnsi="Times New Roman"/>
              </w:rPr>
              <w:t>Ziemera</w:t>
            </w:r>
            <w:proofErr w:type="spellEnd"/>
            <w:r>
              <w:rPr>
                <w:rFonts w:ascii="Times New Roman" w:hAnsi="Times New Roman"/>
              </w:rPr>
              <w:t xml:space="preserve"> pagasta apvienība, un izveidota apvienības pārvalde “Veclaicenes un </w:t>
            </w:r>
            <w:proofErr w:type="spellStart"/>
            <w:r>
              <w:rPr>
                <w:rFonts w:ascii="Times New Roman" w:hAnsi="Times New Roman"/>
              </w:rPr>
              <w:t>Ziemera</w:t>
            </w:r>
            <w:proofErr w:type="spellEnd"/>
            <w:r>
              <w:rPr>
                <w:rFonts w:ascii="Times New Roman" w:hAnsi="Times New Roman"/>
              </w:rPr>
              <w:t xml:space="preserve"> pagastu apvienības pārvalde”;</w:t>
            </w:r>
          </w:p>
          <w:p w14:paraId="50108C07" w14:textId="77777777" w:rsidR="000B2856" w:rsidRDefault="000B2856" w:rsidP="000B2856">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tiek precizēta domes priekšsēdētāja un domes priekšsēdētāja vietnieku kompetence dot darba uzdevumus pašvaldības amatpersonām un administrācijas darbiniekiem;</w:t>
            </w:r>
          </w:p>
          <w:p w14:paraId="25D8CF32" w14:textId="77777777" w:rsidR="000B2856" w:rsidRPr="00980396" w:rsidRDefault="000B2856" w:rsidP="000B2856">
            <w:pPr>
              <w:pStyle w:val="Sarakstarindkopa"/>
              <w:numPr>
                <w:ilvl w:val="0"/>
                <w:numId w:val="2"/>
              </w:numPr>
              <w:spacing w:after="0" w:line="240" w:lineRule="auto"/>
              <w:ind w:left="252" w:hanging="252"/>
              <w:jc w:val="both"/>
              <w:rPr>
                <w:rFonts w:ascii="Times New Roman" w:hAnsi="Times New Roman"/>
              </w:rPr>
            </w:pPr>
            <w:r>
              <w:rPr>
                <w:rFonts w:ascii="Times New Roman" w:hAnsi="Times New Roman"/>
              </w:rPr>
              <w:t>tiek saskaņots Alūksnes novada Sociālo lietu pārvaldes struktūras dalījuma uzskaitījums ar iepriekš veiktajām izmaiņām tajā.</w:t>
            </w:r>
          </w:p>
        </w:tc>
      </w:tr>
      <w:tr w:rsidR="000B2856" w:rsidRPr="0015558A" w14:paraId="57304ACE" w14:textId="77777777" w:rsidTr="00332C32">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EAE4120" w14:textId="77777777" w:rsidR="000B2856" w:rsidRPr="0015558A" w:rsidRDefault="000B2856" w:rsidP="00332C32">
            <w:pPr>
              <w:spacing w:after="0" w:line="240" w:lineRule="auto"/>
            </w:pPr>
            <w:r w:rsidRPr="0015558A">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6E052A2F" w14:textId="77777777" w:rsidR="000B2856" w:rsidRPr="00BF7FBB" w:rsidRDefault="000B2856" w:rsidP="00332C32">
            <w:pPr>
              <w:spacing w:after="0" w:line="240" w:lineRule="auto"/>
              <w:jc w:val="both"/>
              <w:rPr>
                <w:highlight w:val="yellow"/>
              </w:rPr>
            </w:pPr>
            <w:r>
              <w:rPr>
                <w:rFonts w:cs="Times New Roman"/>
              </w:rPr>
              <w:t>Izmaiņas neietekmē pašvaldības budžetu.</w:t>
            </w:r>
          </w:p>
        </w:tc>
      </w:tr>
      <w:tr w:rsidR="000B2856" w:rsidRPr="0015558A" w14:paraId="3BB9B33A" w14:textId="77777777" w:rsidTr="00332C32">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2B292E1" w14:textId="77777777" w:rsidR="000B2856" w:rsidRPr="0015558A" w:rsidRDefault="000B2856" w:rsidP="00332C32">
            <w:pPr>
              <w:spacing w:after="0" w:line="240" w:lineRule="auto"/>
            </w:pPr>
            <w:r w:rsidRPr="0015558A">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47B9BDF8" w14:textId="77777777" w:rsidR="000B2856" w:rsidRPr="0015558A" w:rsidRDefault="000B2856" w:rsidP="00332C32">
            <w:pPr>
              <w:spacing w:after="0" w:line="240" w:lineRule="auto"/>
            </w:pPr>
            <w:r w:rsidRPr="0015558A">
              <w:t>Projekts šo jomu neskar.</w:t>
            </w:r>
          </w:p>
        </w:tc>
      </w:tr>
      <w:tr w:rsidR="000B2856" w:rsidRPr="0015558A" w14:paraId="61EFA54C" w14:textId="77777777" w:rsidTr="00332C32">
        <w:trPr>
          <w:trHeight w:val="954"/>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E1D93A2" w14:textId="77777777" w:rsidR="000B2856" w:rsidRPr="0015558A" w:rsidRDefault="000B2856" w:rsidP="00332C32">
            <w:pPr>
              <w:spacing w:after="0" w:line="240" w:lineRule="auto"/>
            </w:pPr>
            <w:r w:rsidRPr="0015558A">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2FB58658" w14:textId="77777777" w:rsidR="000B2856" w:rsidRPr="0015558A" w:rsidRDefault="000B2856" w:rsidP="00332C32">
            <w:pPr>
              <w:spacing w:after="0" w:line="240" w:lineRule="auto"/>
              <w:jc w:val="both"/>
            </w:pPr>
            <w:r>
              <w:t>Nav.</w:t>
            </w:r>
          </w:p>
        </w:tc>
      </w:tr>
      <w:tr w:rsidR="000B2856" w:rsidRPr="0015558A" w14:paraId="0C712890" w14:textId="77777777" w:rsidTr="00332C32">
        <w:trPr>
          <w:trHeight w:val="1086"/>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1A551D1" w14:textId="77777777" w:rsidR="000B2856" w:rsidRPr="0015558A" w:rsidRDefault="000B2856" w:rsidP="00332C32">
            <w:pPr>
              <w:spacing w:after="0" w:line="240" w:lineRule="auto"/>
            </w:pPr>
            <w:r w:rsidRPr="0015558A">
              <w:lastRenderedPageBreak/>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E408667" w14:textId="77777777" w:rsidR="000B2856" w:rsidRPr="0015558A" w:rsidRDefault="000B2856" w:rsidP="00332C32">
            <w:pPr>
              <w:spacing w:after="0" w:line="240" w:lineRule="auto"/>
              <w:jc w:val="both"/>
            </w:pPr>
            <w:r w:rsidRPr="0015558A">
              <w:t>Konsultācijas nav notikušas</w:t>
            </w:r>
            <w:r>
              <w:t>.</w:t>
            </w:r>
            <w:r w:rsidRPr="0015558A">
              <w:t xml:space="preserve"> </w:t>
            </w:r>
          </w:p>
        </w:tc>
      </w:tr>
      <w:tr w:rsidR="000B2856" w:rsidRPr="0015558A" w14:paraId="21602F34" w14:textId="77777777" w:rsidTr="00332C32">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C2DDBA0" w14:textId="77777777" w:rsidR="000B2856" w:rsidRPr="0015558A" w:rsidRDefault="000B2856" w:rsidP="00332C32">
            <w:pPr>
              <w:spacing w:after="0" w:line="240" w:lineRule="auto"/>
            </w:pPr>
            <w:r w:rsidRPr="0015558A">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64F759F" w14:textId="77777777" w:rsidR="000B2856" w:rsidRPr="0015558A" w:rsidRDefault="000B2856" w:rsidP="00332C32">
            <w:pPr>
              <w:spacing w:after="0" w:line="240" w:lineRule="auto"/>
              <w:jc w:val="both"/>
            </w:pPr>
            <w:r w:rsidRPr="0015558A">
              <w:t>Nav.</w:t>
            </w:r>
          </w:p>
        </w:tc>
      </w:tr>
    </w:tbl>
    <w:p w14:paraId="01FF9A96" w14:textId="77777777" w:rsidR="000B2856" w:rsidRDefault="000B2856" w:rsidP="000B2856">
      <w:pPr>
        <w:spacing w:after="0" w:line="240" w:lineRule="auto"/>
        <w:jc w:val="both"/>
      </w:pPr>
    </w:p>
    <w:p w14:paraId="2549AF1E" w14:textId="77777777" w:rsidR="00877515" w:rsidRDefault="00877515"/>
    <w:sectPr w:rsidR="00877515" w:rsidSect="002561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02E"/>
    <w:multiLevelType w:val="multilevel"/>
    <w:tmpl w:val="99443810"/>
    <w:lvl w:ilvl="0">
      <w:start w:val="1"/>
      <w:numFmt w:val="decimal"/>
      <w:lvlText w:val="%1."/>
      <w:lvlJc w:val="left"/>
      <w:pPr>
        <w:ind w:left="720" w:hanging="360"/>
      </w:pPr>
      <w:rPr>
        <w:rFonts w:hint="default"/>
      </w:rPr>
    </w:lvl>
    <w:lvl w:ilvl="1">
      <w:start w:val="1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C05B24"/>
    <w:multiLevelType w:val="hybridMultilevel"/>
    <w:tmpl w:val="F5263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56"/>
    <w:rsid w:val="000B2856"/>
    <w:rsid w:val="004F7DD7"/>
    <w:rsid w:val="00877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FE3591"/>
  <w15:chartTrackingRefBased/>
  <w15:docId w15:val="{BB6009DE-0E54-4210-ACBA-BB85C762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28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0B2856"/>
    <w:rPr>
      <w:rFonts w:ascii="Calibri" w:eastAsia="Calibri" w:hAnsi="Calibri" w:cs="Times New Roman"/>
    </w:rPr>
  </w:style>
  <w:style w:type="paragraph" w:styleId="Sarakstarindkopa">
    <w:name w:val="List Paragraph"/>
    <w:aliases w:val="H&amp;P List Paragraph,2,Strip,Normal bullet 2,Bullet list,Syle 1"/>
    <w:basedOn w:val="Parasts"/>
    <w:link w:val="SarakstarindkopaRakstz"/>
    <w:uiPriority w:val="34"/>
    <w:qFormat/>
    <w:rsid w:val="000B2856"/>
    <w:pPr>
      <w:spacing w:after="200" w:line="276" w:lineRule="auto"/>
      <w:ind w:left="720"/>
      <w:contextualSpacing/>
    </w:pPr>
    <w:rPr>
      <w:rFonts w:ascii="Calibri" w:eastAsia="Calibri" w:hAnsi="Calibri" w:cs="Times New Roman"/>
    </w:rPr>
  </w:style>
  <w:style w:type="character" w:styleId="Hipersaite">
    <w:name w:val="Hyperlink"/>
    <w:basedOn w:val="Noklusjumarindkopasfonts"/>
    <w:uiPriority w:val="99"/>
    <w:semiHidden/>
    <w:unhideWhenUsed/>
    <w:rsid w:val="000B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69907-publiskas-personas-kapitala-dalu-un-kapitalsabiedribu-parvaldibas-likums/redakcijas-datums/2020/01/01" TargetMode="External"/><Relationship Id="rId5" Type="http://schemas.openxmlformats.org/officeDocument/2006/relationships/hyperlink" Target="https://likumi.lv/ta/id/307805-grozijumi-publiskas-personas-kapitala-dalu-un-kapitalsabiedribu-parvaldibas-likum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4364</Words>
  <Characters>2489</Characters>
  <Application>Microsoft Office Word</Application>
  <DocSecurity>0</DocSecurity>
  <Lines>20</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2021-11-12T11:49:00Z</dcterms:created>
  <dcterms:modified xsi:type="dcterms:W3CDTF">2021-11-12T11:53:00Z</dcterms:modified>
</cp:coreProperties>
</file>