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39A97E58" w14:textId="77777777" w:rsidR="00F973D9" w:rsidRDefault="00F973D9"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Bejas pamatskolas</w:t>
      </w:r>
    </w:p>
    <w:p w14:paraId="58E871A5" w14:textId="1B0C15B5"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31"/>
        <w:gridCol w:w="5015"/>
      </w:tblGrid>
      <w:tr w:rsidR="00954D73" w:rsidRPr="00954D73" w14:paraId="1814EAE9" w14:textId="77777777" w:rsidTr="00F973D9">
        <w:trPr>
          <w:trHeight w:val="111"/>
        </w:trPr>
        <w:tc>
          <w:tcPr>
            <w:tcW w:w="2100" w:type="pct"/>
            <w:tcBorders>
              <w:top w:val="nil"/>
              <w:left w:val="nil"/>
              <w:right w:val="nil"/>
            </w:tcBorders>
            <w:hideMark/>
          </w:tcPr>
          <w:p w14:paraId="4C47AC71" w14:textId="77777777" w:rsid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F973D9">
              <w:rPr>
                <w:rFonts w:ascii="Times New Roman" w:eastAsia="Times New Roman" w:hAnsi="Times New Roman" w:cs="Times New Roman"/>
                <w:color w:val="414142"/>
                <w:sz w:val="20"/>
                <w:szCs w:val="20"/>
                <w:lang w:val="lv-LV"/>
              </w:rPr>
              <w:t>Alūksnes novada, Jaunalūksnes pagastā</w:t>
            </w:r>
          </w:p>
          <w:p w14:paraId="1348DB37" w14:textId="72DEAF35" w:rsidR="00F973D9" w:rsidRDefault="00F973D9" w:rsidP="00166882">
            <w:pPr>
              <w:spacing w:after="0" w:line="240" w:lineRule="auto"/>
              <w:rPr>
                <w:rFonts w:ascii="Times New Roman" w:eastAsia="Times New Roman" w:hAnsi="Times New Roman" w:cs="Times New Roman"/>
                <w:i/>
                <w:color w:val="414142"/>
                <w:sz w:val="20"/>
                <w:szCs w:val="20"/>
                <w:lang w:val="lv-LV"/>
              </w:rPr>
            </w:pPr>
            <w:r>
              <w:rPr>
                <w:rFonts w:ascii="Times New Roman" w:eastAsia="Times New Roman" w:hAnsi="Times New Roman" w:cs="Times New Roman"/>
                <w:i/>
                <w:color w:val="414142"/>
                <w:sz w:val="20"/>
                <w:szCs w:val="20"/>
                <w:lang w:val="lv-LV"/>
              </w:rPr>
              <w:t>Dokumenta datums ir pēdējā pievienotā droša elektroniska paraksta un tā laika zīmoga datums</w:t>
            </w:r>
          </w:p>
          <w:p w14:paraId="685CA593" w14:textId="0E4BF6D4" w:rsidR="00F973D9" w:rsidRPr="00F973D9" w:rsidRDefault="00F973D9" w:rsidP="00166882">
            <w:pPr>
              <w:spacing w:after="0" w:line="240" w:lineRule="auto"/>
              <w:rPr>
                <w:rFonts w:ascii="Times New Roman" w:eastAsia="Times New Roman" w:hAnsi="Times New Roman" w:cs="Times New Roman"/>
                <w:i/>
                <w:color w:val="414142"/>
                <w:sz w:val="20"/>
                <w:szCs w:val="20"/>
                <w:lang w:val="lv-LV"/>
              </w:rPr>
            </w:pP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F973D9">
        <w:tc>
          <w:tcPr>
            <w:tcW w:w="2100" w:type="pct"/>
            <w:tcBorders>
              <w:left w:val="nil"/>
              <w:bottom w:val="nil"/>
              <w:right w:val="nil"/>
            </w:tcBorders>
          </w:tcPr>
          <w:p w14:paraId="7584AC7B" w14:textId="018880CD"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tcPr>
          <w:p w14:paraId="7DD9E197" w14:textId="74AF3B72"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2C7D08">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2C7D08">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2C7D08">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2C7D08">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2C7D08">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2C7D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2C7D08">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2C7D08">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2C7D08">
            <w:pPr>
              <w:spacing w:line="300" w:lineRule="exact"/>
              <w:jc w:val="center"/>
              <w:rPr>
                <w:rFonts w:ascii="Times New Roman" w:hAnsi="Times New Roman" w:cs="Times New Roman"/>
                <w:sz w:val="20"/>
                <w:szCs w:val="20"/>
                <w:lang w:val="lv-LV"/>
              </w:rPr>
            </w:pPr>
          </w:p>
        </w:tc>
      </w:tr>
      <w:tr w:rsidR="002C7D08" w:rsidRPr="00412AB1" w14:paraId="67B267E6" w14:textId="1B86DA79" w:rsidTr="00CA49E7">
        <w:trPr>
          <w:trHeight w:val="784"/>
        </w:trPr>
        <w:tc>
          <w:tcPr>
            <w:tcW w:w="1843" w:type="dxa"/>
            <w:tcBorders>
              <w:left w:val="single" w:sz="4" w:space="0" w:color="auto"/>
              <w:right w:val="single" w:sz="4" w:space="0" w:color="auto"/>
            </w:tcBorders>
          </w:tcPr>
          <w:p w14:paraId="6396FC57" w14:textId="4F6CE2B8" w:rsidR="002C7D08" w:rsidRPr="00412AB1" w:rsidRDefault="002C7D08" w:rsidP="002C7D08">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325B74C4" w14:textId="1F428197" w:rsidR="002C7D08" w:rsidRPr="00412AB1" w:rsidRDefault="002C7D08" w:rsidP="002C7D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21011111</w:t>
            </w:r>
          </w:p>
        </w:tc>
        <w:tc>
          <w:tcPr>
            <w:tcW w:w="1418" w:type="dxa"/>
            <w:tcBorders>
              <w:left w:val="single" w:sz="4" w:space="0" w:color="auto"/>
            </w:tcBorders>
          </w:tcPr>
          <w:p w14:paraId="799B50E7" w14:textId="5572420A" w:rsidR="002C7D08" w:rsidRPr="00412AB1" w:rsidRDefault="002C7D08" w:rsidP="002C7D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“Bejas skola”, Beja, Jaunalūksnes pagasts, Alūksnes novads, LV-4350</w:t>
            </w:r>
          </w:p>
        </w:tc>
        <w:tc>
          <w:tcPr>
            <w:tcW w:w="1134" w:type="dxa"/>
          </w:tcPr>
          <w:p w14:paraId="567B959E" w14:textId="1B5C5EB7" w:rsidR="002C7D08" w:rsidRPr="00412AB1" w:rsidRDefault="002C7D08" w:rsidP="002C7D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V-9321</w:t>
            </w:r>
          </w:p>
        </w:tc>
        <w:tc>
          <w:tcPr>
            <w:tcW w:w="1276" w:type="dxa"/>
          </w:tcPr>
          <w:p w14:paraId="5E27B739" w14:textId="41AA473B" w:rsidR="002C7D08" w:rsidRPr="00412AB1" w:rsidRDefault="002C7D08" w:rsidP="002C7D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30.08.2017.</w:t>
            </w:r>
          </w:p>
        </w:tc>
        <w:tc>
          <w:tcPr>
            <w:tcW w:w="1559" w:type="dxa"/>
          </w:tcPr>
          <w:p w14:paraId="34ACE3F8" w14:textId="31C8C82C" w:rsidR="002C7D08" w:rsidRPr="00412AB1" w:rsidRDefault="00786FBF" w:rsidP="002C7D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50</w:t>
            </w:r>
          </w:p>
        </w:tc>
        <w:tc>
          <w:tcPr>
            <w:tcW w:w="1701" w:type="dxa"/>
          </w:tcPr>
          <w:p w14:paraId="1F7804D0" w14:textId="7AAD15AC" w:rsidR="002C7D08" w:rsidRPr="00412AB1" w:rsidRDefault="002C7D08" w:rsidP="0009265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w:t>
            </w:r>
            <w:r w:rsidR="00786FBF">
              <w:rPr>
                <w:rFonts w:ascii="Times New Roman" w:hAnsi="Times New Roman" w:cs="Times New Roman"/>
                <w:sz w:val="20"/>
                <w:szCs w:val="20"/>
                <w:lang w:val="lv-LV"/>
              </w:rPr>
              <w:t>1</w:t>
            </w:r>
          </w:p>
        </w:tc>
      </w:tr>
      <w:tr w:rsidR="002C7D08" w:rsidRPr="00412AB1" w14:paraId="3B0F11F3" w14:textId="5A5D6385" w:rsidTr="00CA49E7">
        <w:trPr>
          <w:trHeight w:val="784"/>
        </w:trPr>
        <w:tc>
          <w:tcPr>
            <w:tcW w:w="1843" w:type="dxa"/>
            <w:tcBorders>
              <w:left w:val="single" w:sz="4" w:space="0" w:color="auto"/>
              <w:right w:val="single" w:sz="4" w:space="0" w:color="auto"/>
            </w:tcBorders>
          </w:tcPr>
          <w:p w14:paraId="4248D558" w14:textId="022854D6" w:rsidR="002C7D08" w:rsidRPr="00412AB1" w:rsidRDefault="002C7D08" w:rsidP="002C7D08">
            <w:pPr>
              <w:spacing w:line="300" w:lineRule="exact"/>
              <w:rPr>
                <w:rFonts w:ascii="Times New Roman" w:hAnsi="Times New Roman" w:cs="Times New Roman"/>
                <w:sz w:val="20"/>
                <w:szCs w:val="20"/>
              </w:rPr>
            </w:pPr>
            <w:r w:rsidRPr="007418AA">
              <w:rPr>
                <w:rFonts w:ascii="Times New Roman" w:hAnsi="Times New Roman" w:cs="Times New Roman"/>
                <w:sz w:val="20"/>
                <w:szCs w:val="20"/>
                <w:lang w:val="lv-LV"/>
              </w:rPr>
              <w:t>Speciālās pamatizglītības programma izglītojamajiem ar mācīšanās traucējumiem</w:t>
            </w:r>
          </w:p>
        </w:tc>
        <w:tc>
          <w:tcPr>
            <w:tcW w:w="1559" w:type="dxa"/>
            <w:tcBorders>
              <w:left w:val="single" w:sz="4" w:space="0" w:color="auto"/>
              <w:right w:val="single" w:sz="4" w:space="0" w:color="auto"/>
            </w:tcBorders>
          </w:tcPr>
          <w:p w14:paraId="7F2D754B" w14:textId="604B4BFD" w:rsidR="002C7D08" w:rsidRPr="00412AB1" w:rsidRDefault="002C7D08" w:rsidP="002C7D08">
            <w:pPr>
              <w:spacing w:line="300" w:lineRule="exact"/>
              <w:jc w:val="center"/>
              <w:rPr>
                <w:rFonts w:ascii="Times New Roman" w:hAnsi="Times New Roman" w:cs="Times New Roman"/>
                <w:sz w:val="20"/>
                <w:szCs w:val="20"/>
              </w:rPr>
            </w:pPr>
            <w:r w:rsidRPr="00FD680A">
              <w:rPr>
                <w:rFonts w:ascii="Times New Roman" w:hAnsi="Times New Roman" w:cs="Times New Roman"/>
                <w:sz w:val="20"/>
                <w:szCs w:val="20"/>
              </w:rPr>
              <w:t>21015611</w:t>
            </w:r>
          </w:p>
        </w:tc>
        <w:tc>
          <w:tcPr>
            <w:tcW w:w="1418" w:type="dxa"/>
            <w:tcBorders>
              <w:left w:val="single" w:sz="4" w:space="0" w:color="auto"/>
            </w:tcBorders>
          </w:tcPr>
          <w:p w14:paraId="0DF9C6C5" w14:textId="43AF163C"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“Bejas skola”, Beja, Jaunalūksnes pagasts, Alūksnes novads, LV-4350</w:t>
            </w:r>
          </w:p>
        </w:tc>
        <w:tc>
          <w:tcPr>
            <w:tcW w:w="1134" w:type="dxa"/>
          </w:tcPr>
          <w:p w14:paraId="424B253E" w14:textId="2EF4C6CD"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V-3086</w:t>
            </w:r>
          </w:p>
        </w:tc>
        <w:tc>
          <w:tcPr>
            <w:tcW w:w="1276" w:type="dxa"/>
          </w:tcPr>
          <w:p w14:paraId="57E0A5C5" w14:textId="7F7B797D"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07.07.2020.</w:t>
            </w:r>
          </w:p>
        </w:tc>
        <w:tc>
          <w:tcPr>
            <w:tcW w:w="1559" w:type="dxa"/>
          </w:tcPr>
          <w:p w14:paraId="60446622" w14:textId="3EF0BA81"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4BBFDBDA" w14:textId="421BC4AD" w:rsidR="002C7D08" w:rsidRPr="00412AB1" w:rsidRDefault="00786FBF"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2C7D08" w:rsidRPr="00412AB1" w14:paraId="4589B767" w14:textId="1A6221AD" w:rsidTr="00CA49E7">
        <w:trPr>
          <w:trHeight w:val="784"/>
        </w:trPr>
        <w:tc>
          <w:tcPr>
            <w:tcW w:w="1843" w:type="dxa"/>
            <w:tcBorders>
              <w:left w:val="single" w:sz="4" w:space="0" w:color="auto"/>
              <w:right w:val="single" w:sz="4" w:space="0" w:color="auto"/>
            </w:tcBorders>
          </w:tcPr>
          <w:p w14:paraId="4C306AD2" w14:textId="25A79A95" w:rsidR="002C7D08" w:rsidRPr="00412AB1" w:rsidRDefault="002C7D08" w:rsidP="002C7D08">
            <w:pPr>
              <w:spacing w:line="300" w:lineRule="exact"/>
              <w:rPr>
                <w:rFonts w:ascii="Times New Roman" w:hAnsi="Times New Roman" w:cs="Times New Roman"/>
                <w:sz w:val="20"/>
                <w:szCs w:val="20"/>
              </w:rPr>
            </w:pPr>
            <w:r w:rsidRPr="007418AA">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787EE86E" w14:textId="29E21B53"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01011111</w:t>
            </w:r>
          </w:p>
        </w:tc>
        <w:tc>
          <w:tcPr>
            <w:tcW w:w="1418" w:type="dxa"/>
            <w:tcBorders>
              <w:left w:val="single" w:sz="4" w:space="0" w:color="auto"/>
            </w:tcBorders>
          </w:tcPr>
          <w:p w14:paraId="37A7C49D" w14:textId="623F06C8"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“Bejas skola”, Beja, Jaunalūksnes pagasts, Alūksnes novads, LV-4350</w:t>
            </w:r>
          </w:p>
        </w:tc>
        <w:tc>
          <w:tcPr>
            <w:tcW w:w="1134" w:type="dxa"/>
          </w:tcPr>
          <w:p w14:paraId="3A2E903B" w14:textId="26F41960"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V-6720</w:t>
            </w:r>
          </w:p>
        </w:tc>
        <w:tc>
          <w:tcPr>
            <w:tcW w:w="1276" w:type="dxa"/>
          </w:tcPr>
          <w:p w14:paraId="275FEF11" w14:textId="7D7E2EDE" w:rsidR="002C7D08" w:rsidRPr="00412AB1" w:rsidRDefault="002C7D08"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30.08.2013.</w:t>
            </w:r>
          </w:p>
        </w:tc>
        <w:tc>
          <w:tcPr>
            <w:tcW w:w="1559" w:type="dxa"/>
          </w:tcPr>
          <w:p w14:paraId="26632B88" w14:textId="6C45517F" w:rsidR="002C7D08" w:rsidRPr="00412AB1" w:rsidRDefault="00092655"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tcPr>
          <w:p w14:paraId="41B29767" w14:textId="51A8647F" w:rsidR="002C7D08" w:rsidRPr="00412AB1" w:rsidRDefault="00092655" w:rsidP="002C7D08">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38B20ECA" w:rsidR="005F0EE9"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Pr>
          <w:rFonts w:ascii="Times New Roman" w:hAnsi="Times New Roman" w:cs="Times New Roman"/>
          <w:sz w:val="24"/>
          <w:szCs w:val="24"/>
          <w:lang w:val="lv-LV"/>
        </w:rPr>
        <w:t>:</w:t>
      </w:r>
    </w:p>
    <w:p w14:paraId="78232E15" w14:textId="732939F2" w:rsidR="0055362A" w:rsidRDefault="0055362A"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r w:rsidR="00397C12">
        <w:rPr>
          <w:rFonts w:ascii="Times New Roman" w:hAnsi="Times New Roman" w:cs="Times New Roman"/>
          <w:sz w:val="24"/>
          <w:szCs w:val="24"/>
          <w:lang w:val="lv-LV"/>
        </w:rPr>
        <w:t>;</w:t>
      </w:r>
    </w:p>
    <w:p w14:paraId="270AB4B3" w14:textId="435BDEE6" w:rsidR="00C808F3" w:rsidRDefault="00FE5700" w:rsidP="00C808F3">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Divas ģ</w:t>
      </w:r>
      <w:r w:rsidR="00C808F3">
        <w:rPr>
          <w:rFonts w:ascii="Times New Roman" w:hAnsi="Times New Roman" w:cs="Times New Roman"/>
          <w:sz w:val="24"/>
          <w:szCs w:val="24"/>
          <w:lang w:val="lv-LV"/>
        </w:rPr>
        <w:t>imene</w:t>
      </w:r>
      <w:r>
        <w:rPr>
          <w:rFonts w:ascii="Times New Roman" w:hAnsi="Times New Roman" w:cs="Times New Roman"/>
          <w:sz w:val="24"/>
          <w:szCs w:val="24"/>
          <w:lang w:val="lv-LV"/>
        </w:rPr>
        <w:t>s</w:t>
      </w:r>
      <w:r w:rsidR="00C808F3">
        <w:rPr>
          <w:rFonts w:ascii="Times New Roman" w:hAnsi="Times New Roman" w:cs="Times New Roman"/>
          <w:sz w:val="24"/>
          <w:szCs w:val="24"/>
          <w:lang w:val="lv-LV"/>
        </w:rPr>
        <w:t>, kur</w:t>
      </w:r>
      <w:r>
        <w:rPr>
          <w:rFonts w:ascii="Times New Roman" w:hAnsi="Times New Roman" w:cs="Times New Roman"/>
          <w:sz w:val="24"/>
          <w:szCs w:val="24"/>
          <w:lang w:val="lv-LV"/>
        </w:rPr>
        <w:t>u 4</w:t>
      </w:r>
      <w:r w:rsidR="00C808F3">
        <w:rPr>
          <w:rFonts w:ascii="Times New Roman" w:hAnsi="Times New Roman" w:cs="Times New Roman"/>
          <w:sz w:val="24"/>
          <w:szCs w:val="24"/>
          <w:lang w:val="lv-LV"/>
        </w:rPr>
        <w:t xml:space="preserve"> bērni apmeklēja izglītības iestādi, mainīja dzīvesvietu, izbrauca no novada. </w:t>
      </w:r>
    </w:p>
    <w:p w14:paraId="0FA0EFAE" w14:textId="7DE5F1CE" w:rsidR="00C808F3" w:rsidRDefault="0002296F" w:rsidP="00C808F3">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Mācības u</w:t>
      </w:r>
      <w:r w:rsidR="00C808F3">
        <w:rPr>
          <w:rFonts w:ascii="Times New Roman" w:hAnsi="Times New Roman" w:cs="Times New Roman"/>
          <w:sz w:val="24"/>
          <w:szCs w:val="24"/>
          <w:lang w:val="lv-LV"/>
        </w:rPr>
        <w:t>zsāka 2 izglītojamie, kuriem ģimene atgriezās Alūksnes novadā. Viens izglītojamais</w:t>
      </w:r>
      <w:r w:rsidR="00D4158B">
        <w:rPr>
          <w:rFonts w:ascii="Times New Roman" w:hAnsi="Times New Roman" w:cs="Times New Roman"/>
          <w:sz w:val="24"/>
          <w:szCs w:val="24"/>
          <w:lang w:val="lv-LV"/>
        </w:rPr>
        <w:t xml:space="preserve"> </w:t>
      </w:r>
      <w:r w:rsidR="00C808F3">
        <w:rPr>
          <w:rFonts w:ascii="Times New Roman" w:hAnsi="Times New Roman" w:cs="Times New Roman"/>
          <w:sz w:val="24"/>
          <w:szCs w:val="24"/>
          <w:lang w:val="lv-LV"/>
        </w:rPr>
        <w:t xml:space="preserve">atgriezās pie </w:t>
      </w:r>
      <w:r w:rsidR="00460B99">
        <w:rPr>
          <w:rFonts w:ascii="Times New Roman" w:hAnsi="Times New Roman" w:cs="Times New Roman"/>
          <w:sz w:val="24"/>
          <w:szCs w:val="24"/>
          <w:lang w:val="lv-LV"/>
        </w:rPr>
        <w:t xml:space="preserve">vecāka </w:t>
      </w:r>
      <w:r w:rsidR="00FE5700">
        <w:rPr>
          <w:rFonts w:ascii="Times New Roman" w:hAnsi="Times New Roman" w:cs="Times New Roman"/>
          <w:sz w:val="24"/>
          <w:szCs w:val="24"/>
          <w:lang w:val="lv-LV"/>
        </w:rPr>
        <w:t xml:space="preserve">Alūksnes </w:t>
      </w:r>
      <w:r w:rsidR="00460B99">
        <w:rPr>
          <w:rFonts w:ascii="Times New Roman" w:hAnsi="Times New Roman" w:cs="Times New Roman"/>
          <w:sz w:val="24"/>
          <w:szCs w:val="24"/>
          <w:lang w:val="lv-LV"/>
        </w:rPr>
        <w:t>novadā</w:t>
      </w:r>
      <w:r w:rsidR="006A545F">
        <w:rPr>
          <w:rFonts w:ascii="Times New Roman" w:hAnsi="Times New Roman" w:cs="Times New Roman"/>
          <w:sz w:val="24"/>
          <w:szCs w:val="24"/>
          <w:lang w:val="lv-LV"/>
        </w:rPr>
        <w:t xml:space="preserve"> un uzsāka mācības izglītības iestādē</w:t>
      </w:r>
      <w:r w:rsidR="00460B99">
        <w:rPr>
          <w:rFonts w:ascii="Times New Roman" w:hAnsi="Times New Roman" w:cs="Times New Roman"/>
          <w:sz w:val="24"/>
          <w:szCs w:val="24"/>
          <w:lang w:val="lv-LV"/>
        </w:rPr>
        <w:t>.</w:t>
      </w:r>
    </w:p>
    <w:p w14:paraId="54586F58" w14:textId="77777777" w:rsidR="0002296F" w:rsidRDefault="0055362A"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r w:rsidR="0002296F" w:rsidRPr="0002296F">
        <w:rPr>
          <w:rFonts w:ascii="Times New Roman" w:hAnsi="Times New Roman" w:cs="Times New Roman"/>
          <w:sz w:val="24"/>
          <w:szCs w:val="24"/>
          <w:lang w:val="lv-LV"/>
        </w:rPr>
        <w:t xml:space="preserve"> </w:t>
      </w:r>
    </w:p>
    <w:p w14:paraId="0D5BCE84" w14:textId="3A03420E" w:rsidR="0055362A" w:rsidRDefault="0002296F" w:rsidP="0002296F">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Mācības izglītības iestādē uzsāka 2 izglītojamie, kuriem tika ieteikts izglītības turpinājums klasē ar mazāku izglītojamo skaitu.</w:t>
      </w:r>
    </w:p>
    <w:p w14:paraId="660C8555" w14:textId="3DD5BE2E" w:rsidR="00B93CF6"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B250ED" w14:paraId="23D791BC" w14:textId="7C9E6E02" w:rsidTr="00246372">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B250ED" w14:paraId="5D5334EF" w14:textId="44EE19AB" w:rsidTr="00246372">
        <w:tc>
          <w:tcPr>
            <w:tcW w:w="993"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tcPr>
          <w:p w14:paraId="39ED3D3E" w14:textId="70251488" w:rsidR="00423B4A" w:rsidRPr="00636C79" w:rsidRDefault="001F7A5F"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7D5B7EC6" w14:textId="59919739" w:rsidR="00423B4A" w:rsidRPr="00636C79" w:rsidRDefault="001F7A5F"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423B4A" w:rsidRPr="00B250ED" w14:paraId="188B9F00" w14:textId="3A1B60F9" w:rsidTr="00246372">
        <w:tc>
          <w:tcPr>
            <w:tcW w:w="993" w:type="dxa"/>
          </w:tcPr>
          <w:p w14:paraId="3FFEEEC4" w14:textId="68E28069"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0E985051"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00423B4A" w:rsidRPr="00636C79">
              <w:rPr>
                <w:rFonts w:ascii="Times New Roman" w:hAnsi="Times New Roman" w:cs="Times New Roman"/>
                <w:sz w:val="24"/>
                <w:szCs w:val="24"/>
                <w:lang w:val="lv-LV"/>
              </w:rPr>
              <w:t>māc.g</w:t>
            </w:r>
            <w:proofErr w:type="spellEnd"/>
            <w:r w:rsidR="00423B4A" w:rsidRPr="00636C79">
              <w:rPr>
                <w:rFonts w:ascii="Times New Roman" w:hAnsi="Times New Roman" w:cs="Times New Roman"/>
                <w:sz w:val="24"/>
                <w:szCs w:val="24"/>
                <w:lang w:val="lv-LV"/>
              </w:rPr>
              <w:t>.</w:t>
            </w:r>
            <w:r w:rsidR="00A10ED7">
              <w:rPr>
                <w:rFonts w:ascii="Times New Roman" w:hAnsi="Times New Roman" w:cs="Times New Roman"/>
                <w:sz w:val="24"/>
                <w:szCs w:val="24"/>
                <w:lang w:val="lv-LV"/>
              </w:rPr>
              <w:t xml:space="preserve"> (līdz 31.05.2022.)</w:t>
            </w:r>
          </w:p>
        </w:tc>
        <w:tc>
          <w:tcPr>
            <w:tcW w:w="1959" w:type="dxa"/>
          </w:tcPr>
          <w:p w14:paraId="62A76F16" w14:textId="7EE1CAFD" w:rsidR="005C383A" w:rsidRPr="005C383A" w:rsidRDefault="005C383A" w:rsidP="005C38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r w:rsidRPr="005C383A">
              <w:rPr>
                <w:rFonts w:ascii="Times New Roman" w:hAnsi="Times New Roman" w:cs="Times New Roman"/>
                <w:sz w:val="24"/>
                <w:szCs w:val="24"/>
                <w:lang w:val="lv-LV"/>
              </w:rPr>
              <w:t xml:space="preserve"> logopēd</w:t>
            </w:r>
            <w:r>
              <w:rPr>
                <w:rFonts w:ascii="Times New Roman" w:hAnsi="Times New Roman" w:cs="Times New Roman"/>
                <w:sz w:val="24"/>
                <w:szCs w:val="24"/>
                <w:lang w:val="lv-LV"/>
              </w:rPr>
              <w:t>s ar slodzi 0,07</w:t>
            </w:r>
          </w:p>
          <w:p w14:paraId="44FC27B2" w14:textId="6A50350D" w:rsidR="00423B4A" w:rsidRPr="00636C79" w:rsidRDefault="005C383A" w:rsidP="005C383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4 pedagoga palīgi ar slodzi 0,177</w:t>
            </w:r>
          </w:p>
        </w:tc>
        <w:tc>
          <w:tcPr>
            <w:tcW w:w="3038" w:type="dxa"/>
          </w:tcPr>
          <w:p w14:paraId="476411CA" w14:textId="3154D215" w:rsidR="00423B4A" w:rsidRPr="00636C79" w:rsidRDefault="005C383A" w:rsidP="00802097">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iestāžu atbalsta centra speciālistu izbraukuma konsultācijas/nodarbības izglītības iestādē.</w:t>
            </w:r>
          </w:p>
        </w:tc>
      </w:tr>
    </w:tbl>
    <w:p w14:paraId="504EE0AE" w14:textId="77777777" w:rsidR="00802097" w:rsidRDefault="00802097" w:rsidP="00802097">
      <w:pPr>
        <w:pStyle w:val="Sarakstarindkopa"/>
        <w:spacing w:after="0" w:line="240" w:lineRule="auto"/>
        <w:rPr>
          <w:rFonts w:ascii="Times New Roman" w:hAnsi="Times New Roman" w:cs="Times New Roman"/>
          <w:b/>
          <w:bCs/>
          <w:sz w:val="24"/>
          <w:szCs w:val="24"/>
          <w:lang w:val="lv-LV"/>
        </w:rPr>
      </w:pPr>
    </w:p>
    <w:p w14:paraId="3F4FB43C" w14:textId="4633E7C2"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1831559D" w14:textId="77777777" w:rsidR="00D14A6F" w:rsidRPr="00D14A6F" w:rsidRDefault="0078315A" w:rsidP="00D14A6F">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D14A6F" w:rsidRPr="00D14A6F">
        <w:rPr>
          <w:rFonts w:ascii="Times New Roman" w:hAnsi="Times New Roman" w:cs="Times New Roman"/>
          <w:sz w:val="24"/>
          <w:szCs w:val="24"/>
          <w:lang w:val="lv-LV"/>
        </w:rPr>
        <w:t>skola kā kultūrizglītības centrs Jaunalūksnes pagasta Bejas ciematā.</w:t>
      </w:r>
    </w:p>
    <w:p w14:paraId="0B51DCD6" w14:textId="09EC400B" w:rsidR="00446618" w:rsidRDefault="0078315A" w:rsidP="002C7D0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par izglītojamo –</w:t>
      </w:r>
      <w:r w:rsidR="00D14A6F">
        <w:rPr>
          <w:rFonts w:ascii="Times New Roman" w:hAnsi="Times New Roman" w:cs="Times New Roman"/>
          <w:sz w:val="24"/>
          <w:szCs w:val="24"/>
          <w:lang w:val="lv-LV"/>
        </w:rPr>
        <w:t xml:space="preserve"> atbalstoša, radoša uz sadarbību vērsta skola, kurā mācās un aug kopā. </w:t>
      </w:r>
      <w:r w:rsidR="00446618">
        <w:rPr>
          <w:rFonts w:ascii="Times New Roman" w:hAnsi="Times New Roman" w:cs="Times New Roman"/>
          <w:sz w:val="24"/>
          <w:szCs w:val="24"/>
          <w:lang w:val="lv-LV"/>
        </w:rPr>
        <w:t xml:space="preserve"> </w:t>
      </w:r>
    </w:p>
    <w:p w14:paraId="46838952" w14:textId="233CC9EA" w:rsidR="005B099B" w:rsidRDefault="0078315A"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w:t>
      </w:r>
      <w:proofErr w:type="spellStart"/>
      <w:r w:rsidR="00446618">
        <w:rPr>
          <w:rFonts w:ascii="Times New Roman" w:hAnsi="Times New Roman" w:cs="Times New Roman"/>
          <w:sz w:val="24"/>
          <w:szCs w:val="24"/>
          <w:lang w:val="lv-LV"/>
        </w:rPr>
        <w:t>cilvēkcentrētā</w:t>
      </w:r>
      <w:proofErr w:type="spellEnd"/>
      <w:r w:rsidR="00446618">
        <w:rPr>
          <w:rFonts w:ascii="Times New Roman" w:hAnsi="Times New Roman" w:cs="Times New Roman"/>
          <w:sz w:val="24"/>
          <w:szCs w:val="24"/>
          <w:lang w:val="lv-LV"/>
        </w:rPr>
        <w:t xml:space="preserve"> veidā – </w:t>
      </w:r>
      <w:r w:rsidR="00D14A6F">
        <w:rPr>
          <w:rFonts w:ascii="Times New Roman" w:hAnsi="Times New Roman" w:cs="Times New Roman"/>
          <w:sz w:val="24"/>
          <w:szCs w:val="24"/>
          <w:lang w:val="lv-LV"/>
        </w:rPr>
        <w:t>atbildība, sadarbība, radošums, cieņa</w:t>
      </w:r>
      <w:r w:rsidR="00B62EF4">
        <w:rPr>
          <w:rFonts w:ascii="Times New Roman" w:hAnsi="Times New Roman" w:cs="Times New Roman"/>
          <w:sz w:val="24"/>
          <w:szCs w:val="24"/>
          <w:lang w:val="lv-LV"/>
        </w:rPr>
        <w:t>.</w:t>
      </w:r>
    </w:p>
    <w:p w14:paraId="37F4ABD9" w14:textId="5AC719FC" w:rsidR="00B62EF4" w:rsidRDefault="00B62EF4" w:rsidP="00B62EF4">
      <w:pPr>
        <w:pStyle w:val="Sarakstarindkopa"/>
        <w:spacing w:after="0" w:line="240" w:lineRule="auto"/>
        <w:ind w:left="426"/>
        <w:rPr>
          <w:rFonts w:ascii="Times New Roman" w:hAnsi="Times New Roman" w:cs="Times New Roman"/>
          <w:sz w:val="24"/>
          <w:szCs w:val="24"/>
          <w:lang w:val="lv-LV"/>
        </w:rPr>
      </w:pPr>
    </w:p>
    <w:p w14:paraId="7EE40F63" w14:textId="37D2D042" w:rsidR="00446618" w:rsidRDefault="0078315A"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r w:rsidR="00B62EF4">
        <w:rPr>
          <w:rFonts w:ascii="Times New Roman" w:hAnsi="Times New Roman" w:cs="Times New Roman"/>
          <w:sz w:val="24"/>
          <w:szCs w:val="24"/>
          <w:lang w:val="lv-LV"/>
        </w:rPr>
        <w:t>.</w:t>
      </w:r>
    </w:p>
    <w:p w14:paraId="7EC4BCE2"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8641" w:type="dxa"/>
        <w:tblInd w:w="426" w:type="dxa"/>
        <w:tblLook w:val="04A0" w:firstRow="1" w:lastRow="0" w:firstColumn="1" w:lastColumn="0" w:noHBand="0" w:noVBand="1"/>
      </w:tblPr>
      <w:tblGrid>
        <w:gridCol w:w="2263"/>
        <w:gridCol w:w="3118"/>
        <w:gridCol w:w="3260"/>
      </w:tblGrid>
      <w:tr w:rsidR="00AD0126" w:rsidRPr="00B250ED" w14:paraId="63BD0095" w14:textId="564EDE1C" w:rsidTr="00F67EB3">
        <w:tc>
          <w:tcPr>
            <w:tcW w:w="2263"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118"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60"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14:paraId="7A7B02DE" w14:textId="1799B19C" w:rsidTr="00F67EB3">
        <w:tc>
          <w:tcPr>
            <w:tcW w:w="2263" w:type="dxa"/>
          </w:tcPr>
          <w:p w14:paraId="51AB82F3" w14:textId="77777777" w:rsidR="00441FCE"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441FCE" w:rsidRPr="002924BD">
              <w:rPr>
                <w:rFonts w:ascii="Times New Roman" w:hAnsi="Times New Roman" w:cs="Times New Roman"/>
                <w:sz w:val="24"/>
                <w:szCs w:val="24"/>
                <w:lang w:val="lv-LV"/>
              </w:rPr>
              <w:t xml:space="preserve"> </w:t>
            </w:r>
          </w:p>
          <w:p w14:paraId="64CC518F" w14:textId="7D4B6D42" w:rsidR="00AD0126" w:rsidRDefault="00441FCE" w:rsidP="00B62EF4">
            <w:pPr>
              <w:pStyle w:val="Sarakstarindkopa"/>
              <w:ind w:left="0"/>
              <w:jc w:val="both"/>
              <w:rPr>
                <w:rFonts w:ascii="Times New Roman" w:hAnsi="Times New Roman" w:cs="Times New Roman"/>
                <w:sz w:val="24"/>
                <w:szCs w:val="24"/>
                <w:lang w:val="lv-LV"/>
              </w:rPr>
            </w:pPr>
            <w:proofErr w:type="spellStart"/>
            <w:r w:rsidRPr="002924BD">
              <w:rPr>
                <w:rFonts w:ascii="Times New Roman" w:hAnsi="Times New Roman" w:cs="Times New Roman"/>
                <w:sz w:val="24"/>
                <w:szCs w:val="24"/>
                <w:lang w:val="lv-LV"/>
              </w:rPr>
              <w:t>Pašvadītas</w:t>
            </w:r>
            <w:proofErr w:type="spellEnd"/>
            <w:r w:rsidRPr="002924BD">
              <w:rPr>
                <w:rFonts w:ascii="Times New Roman" w:hAnsi="Times New Roman" w:cs="Times New Roman"/>
                <w:sz w:val="24"/>
                <w:szCs w:val="24"/>
                <w:lang w:val="lv-LV"/>
              </w:rPr>
              <w:t xml:space="preserve"> mācīšanās (PM) principu un paņēmienu ieviešana.</w:t>
            </w:r>
          </w:p>
        </w:tc>
        <w:tc>
          <w:tcPr>
            <w:tcW w:w="3118" w:type="dxa"/>
          </w:tcPr>
          <w:p w14:paraId="1A574725" w14:textId="77777777" w:rsidR="00AD0126"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w:t>
            </w:r>
            <w:r w:rsidR="00AD0126">
              <w:rPr>
                <w:rFonts w:ascii="Times New Roman" w:hAnsi="Times New Roman" w:cs="Times New Roman"/>
                <w:sz w:val="24"/>
                <w:szCs w:val="24"/>
                <w:lang w:val="lv-LV"/>
              </w:rPr>
              <w:t>valitatīvi</w:t>
            </w:r>
          </w:p>
          <w:p w14:paraId="219C2A03" w14:textId="35ABFA4C" w:rsidR="00411908" w:rsidRPr="002924BD" w:rsidRDefault="00F67EB3" w:rsidP="0041190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11908" w:rsidRPr="002924BD">
              <w:rPr>
                <w:rFonts w:ascii="Times New Roman" w:hAnsi="Times New Roman" w:cs="Times New Roman"/>
                <w:sz w:val="24"/>
                <w:szCs w:val="24"/>
                <w:lang w:val="lv-LV"/>
              </w:rPr>
              <w:t>Gandrīz visi (86 %) pedagogi ir iepazinušies ar PM ceļvedi (Pēc Iespējamā misija)</w:t>
            </w:r>
            <w:r w:rsidR="00411908">
              <w:rPr>
                <w:rFonts w:ascii="Times New Roman" w:hAnsi="Times New Roman" w:cs="Times New Roman"/>
                <w:sz w:val="24"/>
                <w:szCs w:val="24"/>
                <w:lang w:val="lv-LV"/>
              </w:rPr>
              <w:t>;</w:t>
            </w:r>
          </w:p>
          <w:p w14:paraId="0D61C2CE" w14:textId="2EE99110" w:rsidR="00411908" w:rsidRDefault="00F67EB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11908" w:rsidRPr="002924BD">
              <w:rPr>
                <w:rFonts w:ascii="Times New Roman" w:hAnsi="Times New Roman" w:cs="Times New Roman"/>
                <w:sz w:val="24"/>
                <w:szCs w:val="24"/>
                <w:lang w:val="lv-LV"/>
              </w:rPr>
              <w:t>Uzsākts darbs (1.-3.kl. un 4.-6.kl.) pedagogu darba grupās pie vienotas PM stratēģiju konkrētā vecumposmā izstrādes.</w:t>
            </w:r>
            <w:r>
              <w:rPr>
                <w:rFonts w:ascii="Times New Roman" w:hAnsi="Times New Roman" w:cs="Times New Roman"/>
                <w:sz w:val="24"/>
                <w:szCs w:val="24"/>
                <w:lang w:val="lv-LV"/>
              </w:rPr>
              <w:t xml:space="preserve"> </w:t>
            </w:r>
          </w:p>
        </w:tc>
        <w:tc>
          <w:tcPr>
            <w:tcW w:w="3260" w:type="dxa"/>
            <w:shd w:val="clear" w:color="auto" w:fill="auto"/>
          </w:tcPr>
          <w:p w14:paraId="22170E3D" w14:textId="698A10B3" w:rsidR="00AD0126" w:rsidRDefault="00441FCE" w:rsidP="00441FCE">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7E3F6EA2" w14:textId="2D8C492C" w:rsidR="00B62EF4" w:rsidRDefault="00B62EF4" w:rsidP="00411908">
            <w:pPr>
              <w:pStyle w:val="Sarakstarindkopa"/>
              <w:ind w:left="0"/>
              <w:jc w:val="both"/>
              <w:rPr>
                <w:rFonts w:ascii="Times New Roman" w:hAnsi="Times New Roman" w:cs="Times New Roman"/>
                <w:sz w:val="24"/>
                <w:szCs w:val="24"/>
                <w:lang w:val="lv-LV"/>
              </w:rPr>
            </w:pPr>
          </w:p>
        </w:tc>
      </w:tr>
      <w:tr w:rsidR="00AD0126" w14:paraId="22937F9E" w14:textId="62842932" w:rsidTr="00F67EB3">
        <w:tc>
          <w:tcPr>
            <w:tcW w:w="2263" w:type="dxa"/>
          </w:tcPr>
          <w:p w14:paraId="5C29FB07" w14:textId="73C8563D" w:rsidR="00AD0126" w:rsidRDefault="00AD0126" w:rsidP="006515E1">
            <w:pPr>
              <w:pStyle w:val="Sarakstarindkopa"/>
              <w:ind w:left="0"/>
              <w:rPr>
                <w:rFonts w:ascii="Times New Roman" w:hAnsi="Times New Roman" w:cs="Times New Roman"/>
                <w:sz w:val="24"/>
                <w:szCs w:val="24"/>
                <w:lang w:val="lv-LV"/>
              </w:rPr>
            </w:pPr>
          </w:p>
        </w:tc>
        <w:tc>
          <w:tcPr>
            <w:tcW w:w="3118" w:type="dxa"/>
          </w:tcPr>
          <w:p w14:paraId="35987706" w14:textId="77777777" w:rsidR="00F67EB3" w:rsidRDefault="004C556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AD0126">
              <w:rPr>
                <w:rFonts w:ascii="Times New Roman" w:hAnsi="Times New Roman" w:cs="Times New Roman"/>
                <w:sz w:val="24"/>
                <w:szCs w:val="24"/>
                <w:lang w:val="lv-LV"/>
              </w:rPr>
              <w:t xml:space="preserve"> kvantitatīvi</w:t>
            </w:r>
            <w:r w:rsidR="00F67EB3" w:rsidRPr="002924BD">
              <w:rPr>
                <w:rFonts w:ascii="Times New Roman" w:hAnsi="Times New Roman" w:cs="Times New Roman"/>
                <w:sz w:val="24"/>
                <w:szCs w:val="24"/>
                <w:lang w:val="lv-LV"/>
              </w:rPr>
              <w:t xml:space="preserve"> </w:t>
            </w:r>
          </w:p>
          <w:p w14:paraId="2A05AF21" w14:textId="5C6B07B8" w:rsidR="00F67EB3" w:rsidRPr="002924BD" w:rsidRDefault="00F67EB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M</w:t>
            </w:r>
            <w:r w:rsidRPr="002924BD">
              <w:rPr>
                <w:rFonts w:ascii="Times New Roman" w:hAnsi="Times New Roman" w:cs="Times New Roman"/>
                <w:sz w:val="24"/>
                <w:szCs w:val="24"/>
                <w:lang w:val="lv-LV"/>
              </w:rPr>
              <w:t>azāk kā puse izglītojamo prot izvirzīt mācīšanās SR un spēj veikt sava darba plānošanu.</w:t>
            </w:r>
          </w:p>
          <w:p w14:paraId="51902976" w14:textId="6A51842D" w:rsidR="00AD0126" w:rsidRDefault="00F67EB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2924BD">
              <w:rPr>
                <w:rFonts w:ascii="Times New Roman" w:hAnsi="Times New Roman" w:cs="Times New Roman"/>
                <w:sz w:val="24"/>
                <w:szCs w:val="24"/>
                <w:lang w:val="lv-LV"/>
              </w:rPr>
              <w:t xml:space="preserve">93% pedagogu mācību procesā pielieto PM stratēģiju (apliecina pedagoga gada </w:t>
            </w:r>
            <w:proofErr w:type="spellStart"/>
            <w:r w:rsidRPr="002924BD">
              <w:rPr>
                <w:rFonts w:ascii="Times New Roman" w:hAnsi="Times New Roman" w:cs="Times New Roman"/>
                <w:sz w:val="24"/>
                <w:szCs w:val="24"/>
                <w:lang w:val="lv-LV"/>
              </w:rPr>
              <w:t>izvērtējumi</w:t>
            </w:r>
            <w:proofErr w:type="spellEnd"/>
            <w:r w:rsidRPr="002924BD">
              <w:rPr>
                <w:rFonts w:ascii="Times New Roman" w:hAnsi="Times New Roman" w:cs="Times New Roman"/>
                <w:sz w:val="24"/>
                <w:szCs w:val="24"/>
                <w:lang w:val="lv-LV"/>
              </w:rPr>
              <w:t>)</w:t>
            </w:r>
            <w:r>
              <w:rPr>
                <w:rFonts w:ascii="Times New Roman" w:hAnsi="Times New Roman" w:cs="Times New Roman"/>
                <w:sz w:val="24"/>
                <w:szCs w:val="24"/>
                <w:lang w:val="lv-LV"/>
              </w:rPr>
              <w:t>.</w:t>
            </w:r>
          </w:p>
        </w:tc>
        <w:tc>
          <w:tcPr>
            <w:tcW w:w="3260" w:type="dxa"/>
            <w:shd w:val="clear" w:color="auto" w:fill="auto"/>
          </w:tcPr>
          <w:p w14:paraId="032D562F" w14:textId="3845D6E3" w:rsidR="00B62EF4" w:rsidRDefault="00F67EB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Daļēji sasniegts</w:t>
            </w:r>
          </w:p>
        </w:tc>
      </w:tr>
      <w:tr w:rsidR="00AD0126" w14:paraId="2D31A899" w14:textId="7D4FF594" w:rsidTr="00F67EB3">
        <w:tc>
          <w:tcPr>
            <w:tcW w:w="2263" w:type="dxa"/>
          </w:tcPr>
          <w:p w14:paraId="6BB788EF" w14:textId="77777777" w:rsidR="00C2764D"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0F938B85" w14:textId="3815E1FB" w:rsidR="00AD0126" w:rsidRDefault="00C2764D" w:rsidP="00C2764D">
            <w:pPr>
              <w:pStyle w:val="Sarakstarindkopa"/>
              <w:ind w:left="0"/>
              <w:jc w:val="both"/>
              <w:rPr>
                <w:rFonts w:ascii="Times New Roman" w:hAnsi="Times New Roman" w:cs="Times New Roman"/>
                <w:sz w:val="24"/>
                <w:szCs w:val="24"/>
                <w:lang w:val="lv-LV"/>
              </w:rPr>
            </w:pPr>
            <w:r w:rsidRPr="002924BD">
              <w:rPr>
                <w:rFonts w:ascii="Times New Roman" w:hAnsi="Times New Roman" w:cs="Times New Roman"/>
                <w:sz w:val="24"/>
                <w:szCs w:val="24"/>
                <w:lang w:val="lv-LV"/>
              </w:rPr>
              <w:t>So</w:t>
            </w:r>
            <w:r>
              <w:rPr>
                <w:rFonts w:ascii="Times New Roman" w:hAnsi="Times New Roman" w:cs="Times New Roman"/>
                <w:sz w:val="24"/>
                <w:szCs w:val="24"/>
                <w:lang w:val="lv-LV"/>
              </w:rPr>
              <w:t>c</w:t>
            </w:r>
            <w:r w:rsidRPr="002924BD">
              <w:rPr>
                <w:rFonts w:ascii="Times New Roman" w:hAnsi="Times New Roman" w:cs="Times New Roman"/>
                <w:sz w:val="24"/>
                <w:szCs w:val="24"/>
                <w:lang w:val="lv-LV"/>
              </w:rPr>
              <w:t>iāli emocionālās mācīšanās (SEM) prasmju praktizēšana un to novērtēšana.</w:t>
            </w:r>
          </w:p>
        </w:tc>
        <w:tc>
          <w:tcPr>
            <w:tcW w:w="3118" w:type="dxa"/>
          </w:tcPr>
          <w:p w14:paraId="199894FC" w14:textId="77777777" w:rsidR="00F67EB3" w:rsidRDefault="004C556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78315A">
              <w:rPr>
                <w:rFonts w:ascii="Times New Roman" w:hAnsi="Times New Roman" w:cs="Times New Roman"/>
                <w:sz w:val="24"/>
                <w:szCs w:val="24"/>
                <w:lang w:val="lv-LV"/>
              </w:rPr>
              <w:t xml:space="preserve"> kvalitatīvi</w:t>
            </w:r>
          </w:p>
          <w:p w14:paraId="65F3C3D7" w14:textId="0FE379C5" w:rsidR="00F67EB3" w:rsidRPr="002924BD" w:rsidRDefault="00F67EB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2924BD">
              <w:rPr>
                <w:rFonts w:ascii="Times New Roman" w:hAnsi="Times New Roman" w:cs="Times New Roman"/>
                <w:sz w:val="24"/>
                <w:szCs w:val="24"/>
                <w:lang w:val="lv-LV"/>
              </w:rPr>
              <w:t xml:space="preserve"> </w:t>
            </w:r>
            <w:r>
              <w:rPr>
                <w:rFonts w:ascii="Times New Roman" w:hAnsi="Times New Roman" w:cs="Times New Roman"/>
                <w:sz w:val="24"/>
                <w:szCs w:val="24"/>
                <w:lang w:val="lv-LV"/>
              </w:rPr>
              <w:t>Visi k</w:t>
            </w:r>
            <w:r w:rsidRPr="002924BD">
              <w:rPr>
                <w:rFonts w:ascii="Times New Roman" w:hAnsi="Times New Roman" w:cs="Times New Roman"/>
                <w:sz w:val="24"/>
                <w:szCs w:val="24"/>
                <w:lang w:val="lv-LV"/>
              </w:rPr>
              <w:t>lašu audzinātāji pārzina SEM programmu.</w:t>
            </w:r>
          </w:p>
          <w:p w14:paraId="2A5C2CDB" w14:textId="53550EC9" w:rsidR="00AD0126" w:rsidRDefault="00F67EB3" w:rsidP="00F67EB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Vairāk nekā puse i</w:t>
            </w:r>
            <w:r w:rsidRPr="002924BD">
              <w:rPr>
                <w:rFonts w:ascii="Times New Roman" w:hAnsi="Times New Roman" w:cs="Times New Roman"/>
                <w:sz w:val="24"/>
                <w:szCs w:val="24"/>
                <w:lang w:val="lv-LV"/>
              </w:rPr>
              <w:t>zglītojam</w:t>
            </w:r>
            <w:r>
              <w:rPr>
                <w:rFonts w:ascii="Times New Roman" w:hAnsi="Times New Roman" w:cs="Times New Roman"/>
                <w:sz w:val="24"/>
                <w:szCs w:val="24"/>
                <w:lang w:val="lv-LV"/>
              </w:rPr>
              <w:t>o</w:t>
            </w:r>
            <w:r w:rsidRPr="002924BD">
              <w:rPr>
                <w:rFonts w:ascii="Times New Roman" w:hAnsi="Times New Roman" w:cs="Times New Roman"/>
                <w:sz w:val="24"/>
                <w:szCs w:val="24"/>
                <w:lang w:val="lv-LV"/>
              </w:rPr>
              <w:t xml:space="preserve"> </w:t>
            </w:r>
            <w:r>
              <w:rPr>
                <w:rFonts w:ascii="Times New Roman" w:hAnsi="Times New Roman" w:cs="Times New Roman"/>
                <w:sz w:val="24"/>
                <w:szCs w:val="24"/>
                <w:lang w:val="lv-LV"/>
              </w:rPr>
              <w:t>atbildīgi un ar interesi iesaistījās savu  prasmju (</w:t>
            </w:r>
            <w:r w:rsidRPr="002924BD">
              <w:rPr>
                <w:rFonts w:ascii="Times New Roman" w:hAnsi="Times New Roman" w:cs="Times New Roman"/>
                <w:sz w:val="24"/>
                <w:szCs w:val="24"/>
                <w:lang w:val="lv-LV"/>
              </w:rPr>
              <w:t>saprast un pārvaldīt sevi, veidot attiecības</w:t>
            </w:r>
            <w:r>
              <w:rPr>
                <w:rFonts w:ascii="Times New Roman" w:hAnsi="Times New Roman" w:cs="Times New Roman"/>
                <w:sz w:val="24"/>
                <w:szCs w:val="24"/>
                <w:lang w:val="lv-LV"/>
              </w:rPr>
              <w:t>) aktivitātēs</w:t>
            </w:r>
            <w:r w:rsidRPr="002924BD">
              <w:rPr>
                <w:rFonts w:ascii="Times New Roman" w:hAnsi="Times New Roman" w:cs="Times New Roman"/>
                <w:sz w:val="24"/>
                <w:szCs w:val="24"/>
                <w:lang w:val="lv-LV"/>
              </w:rPr>
              <w:t>.</w:t>
            </w:r>
          </w:p>
        </w:tc>
        <w:tc>
          <w:tcPr>
            <w:tcW w:w="3260" w:type="dxa"/>
            <w:shd w:val="clear" w:color="auto" w:fill="auto"/>
          </w:tcPr>
          <w:p w14:paraId="78E06605" w14:textId="77777777" w:rsidR="00DC7C93" w:rsidRDefault="00C2764D" w:rsidP="00DC7C9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izpildīts.</w:t>
            </w:r>
            <w:r w:rsidR="00DC7C93" w:rsidRPr="002924BD">
              <w:rPr>
                <w:rFonts w:ascii="Times New Roman" w:hAnsi="Times New Roman" w:cs="Times New Roman"/>
                <w:sz w:val="24"/>
                <w:szCs w:val="24"/>
                <w:lang w:val="lv-LV"/>
              </w:rPr>
              <w:t xml:space="preserve"> </w:t>
            </w:r>
          </w:p>
          <w:p w14:paraId="7F8D2AEC" w14:textId="6A65FEFB" w:rsidR="00AD0126" w:rsidRDefault="00AD0126" w:rsidP="00DC7C93">
            <w:pPr>
              <w:pStyle w:val="Sarakstarindkopa"/>
              <w:ind w:left="0"/>
              <w:jc w:val="both"/>
              <w:rPr>
                <w:rFonts w:ascii="Times New Roman" w:hAnsi="Times New Roman" w:cs="Times New Roman"/>
                <w:sz w:val="24"/>
                <w:szCs w:val="24"/>
                <w:lang w:val="lv-LV"/>
              </w:rPr>
            </w:pPr>
          </w:p>
        </w:tc>
      </w:tr>
      <w:tr w:rsidR="0078315A" w14:paraId="6113B94B" w14:textId="77777777" w:rsidTr="00F67EB3">
        <w:tc>
          <w:tcPr>
            <w:tcW w:w="2263" w:type="dxa"/>
          </w:tcPr>
          <w:p w14:paraId="2C6D9826" w14:textId="54C354FC" w:rsidR="0078315A" w:rsidRDefault="0078315A" w:rsidP="006515E1">
            <w:pPr>
              <w:pStyle w:val="Sarakstarindkopa"/>
              <w:ind w:left="0"/>
              <w:rPr>
                <w:rFonts w:ascii="Times New Roman" w:hAnsi="Times New Roman" w:cs="Times New Roman"/>
                <w:sz w:val="24"/>
                <w:szCs w:val="24"/>
                <w:lang w:val="lv-LV"/>
              </w:rPr>
            </w:pPr>
          </w:p>
        </w:tc>
        <w:tc>
          <w:tcPr>
            <w:tcW w:w="3118" w:type="dxa"/>
          </w:tcPr>
          <w:p w14:paraId="6776FB7E" w14:textId="77777777" w:rsidR="00F67EB3" w:rsidRDefault="004C556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78315A">
              <w:rPr>
                <w:rFonts w:ascii="Times New Roman" w:hAnsi="Times New Roman" w:cs="Times New Roman"/>
                <w:sz w:val="24"/>
                <w:szCs w:val="24"/>
                <w:lang w:val="lv-LV"/>
              </w:rPr>
              <w:t xml:space="preserve"> kv</w:t>
            </w:r>
            <w:r w:rsidR="00C2764D">
              <w:rPr>
                <w:rFonts w:ascii="Times New Roman" w:hAnsi="Times New Roman" w:cs="Times New Roman"/>
                <w:sz w:val="24"/>
                <w:szCs w:val="24"/>
                <w:lang w:val="lv-LV"/>
              </w:rPr>
              <w:t>anti</w:t>
            </w:r>
            <w:r w:rsidR="0078315A">
              <w:rPr>
                <w:rFonts w:ascii="Times New Roman" w:hAnsi="Times New Roman" w:cs="Times New Roman"/>
                <w:sz w:val="24"/>
                <w:szCs w:val="24"/>
                <w:lang w:val="lv-LV"/>
              </w:rPr>
              <w:t>tatīvi</w:t>
            </w:r>
            <w:r w:rsidR="00F67EB3" w:rsidRPr="002924BD">
              <w:rPr>
                <w:rFonts w:ascii="Times New Roman" w:hAnsi="Times New Roman" w:cs="Times New Roman"/>
                <w:sz w:val="24"/>
                <w:szCs w:val="24"/>
                <w:lang w:val="lv-LV"/>
              </w:rPr>
              <w:t xml:space="preserve"> </w:t>
            </w:r>
          </w:p>
          <w:p w14:paraId="362FEFD1" w14:textId="5A9AEFA2" w:rsidR="00F67EB3" w:rsidRPr="002924BD" w:rsidRDefault="00F67EB3" w:rsidP="00F67EB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2924BD">
              <w:rPr>
                <w:rFonts w:ascii="Times New Roman" w:hAnsi="Times New Roman" w:cs="Times New Roman"/>
                <w:sz w:val="24"/>
                <w:szCs w:val="24"/>
                <w:lang w:val="lv-LV"/>
              </w:rPr>
              <w:t>Visu klašu grupās tika izstrādātas un aktualizētas</w:t>
            </w:r>
            <w:r>
              <w:rPr>
                <w:rFonts w:ascii="Times New Roman" w:hAnsi="Times New Roman" w:cs="Times New Roman"/>
                <w:sz w:val="24"/>
                <w:szCs w:val="24"/>
                <w:lang w:val="lv-LV"/>
              </w:rPr>
              <w:t xml:space="preserve"> izglītojamo</w:t>
            </w:r>
            <w:r w:rsidRPr="002924BD">
              <w:rPr>
                <w:rFonts w:ascii="Times New Roman" w:hAnsi="Times New Roman" w:cs="Times New Roman"/>
                <w:sz w:val="24"/>
                <w:szCs w:val="24"/>
                <w:lang w:val="lv-LV"/>
              </w:rPr>
              <w:t xml:space="preserve"> pašnovērtējuma kartes.</w:t>
            </w:r>
          </w:p>
          <w:p w14:paraId="0372B975" w14:textId="513D61D1" w:rsidR="0078315A" w:rsidRDefault="00F67EB3" w:rsidP="00F67EB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924BD">
              <w:rPr>
                <w:rFonts w:ascii="Times New Roman" w:hAnsi="Times New Roman" w:cs="Times New Roman"/>
                <w:sz w:val="24"/>
                <w:szCs w:val="24"/>
                <w:lang w:val="lv-LV"/>
              </w:rPr>
              <w:t>Katrā klasē notika klases stunda pēc SEM nodarbību plānojuma.</w:t>
            </w:r>
          </w:p>
        </w:tc>
        <w:tc>
          <w:tcPr>
            <w:tcW w:w="3260" w:type="dxa"/>
            <w:shd w:val="clear" w:color="auto" w:fill="auto"/>
          </w:tcPr>
          <w:p w14:paraId="63417433" w14:textId="0356212A" w:rsidR="0078315A" w:rsidRDefault="002924BD" w:rsidP="00DC7C93">
            <w:pPr>
              <w:pStyle w:val="Sarakstarindkopa"/>
              <w:ind w:left="0"/>
              <w:jc w:val="both"/>
              <w:rPr>
                <w:rFonts w:ascii="Times New Roman" w:hAnsi="Times New Roman" w:cs="Times New Roman"/>
                <w:sz w:val="24"/>
                <w:szCs w:val="24"/>
                <w:lang w:val="lv-LV"/>
              </w:rPr>
            </w:pPr>
            <w:r w:rsidRPr="002924BD">
              <w:rPr>
                <w:rFonts w:ascii="Times New Roman" w:hAnsi="Times New Roman" w:cs="Times New Roman"/>
                <w:sz w:val="24"/>
                <w:szCs w:val="24"/>
                <w:lang w:val="lv-LV"/>
              </w:rPr>
              <w:t xml:space="preserve"> </w:t>
            </w:r>
            <w:r w:rsidR="00617DED">
              <w:rPr>
                <w:rFonts w:ascii="Times New Roman" w:hAnsi="Times New Roman" w:cs="Times New Roman"/>
                <w:sz w:val="24"/>
                <w:szCs w:val="24"/>
                <w:lang w:val="lv-LV"/>
              </w:rPr>
              <w:t>Izpildīts</w:t>
            </w:r>
          </w:p>
        </w:tc>
      </w:tr>
    </w:tbl>
    <w:p w14:paraId="34B3223F" w14:textId="77777777"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7C2026AC" w14:textId="0490259D" w:rsidR="006515E1" w:rsidRDefault="006515E1" w:rsidP="006515E1">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E17AFCD" w14:textId="77777777" w:rsidR="00096403" w:rsidRPr="00446618"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8500" w:type="dxa"/>
        <w:tblInd w:w="426" w:type="dxa"/>
        <w:tblLook w:val="04A0" w:firstRow="1" w:lastRow="0" w:firstColumn="1" w:lastColumn="0" w:noHBand="0" w:noVBand="1"/>
      </w:tblPr>
      <w:tblGrid>
        <w:gridCol w:w="2263"/>
        <w:gridCol w:w="2835"/>
        <w:gridCol w:w="3402"/>
      </w:tblGrid>
      <w:tr w:rsidR="00096403" w:rsidRPr="00B250ED" w14:paraId="33A11439" w14:textId="77777777" w:rsidTr="00411908">
        <w:tc>
          <w:tcPr>
            <w:tcW w:w="2263" w:type="dxa"/>
          </w:tcPr>
          <w:p w14:paraId="0BA0FBE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2835" w:type="dxa"/>
          </w:tcPr>
          <w:p w14:paraId="39ED1D4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402" w:type="dxa"/>
          </w:tcPr>
          <w:p w14:paraId="5889A58E"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14:paraId="7072658A" w14:textId="77777777" w:rsidTr="00411908">
        <w:tc>
          <w:tcPr>
            <w:tcW w:w="2263" w:type="dxa"/>
          </w:tcPr>
          <w:p w14:paraId="6560B690" w14:textId="77777777" w:rsidR="007D6C85" w:rsidRDefault="00096403" w:rsidP="007D6C85">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Nr.1</w:t>
            </w:r>
            <w:r w:rsidR="007D6C85">
              <w:rPr>
                <w:rFonts w:ascii="Times New Roman" w:hAnsi="Times New Roman" w:cs="Times New Roman"/>
                <w:sz w:val="24"/>
                <w:szCs w:val="24"/>
                <w:lang w:val="lv-LV"/>
              </w:rPr>
              <w:t xml:space="preserve"> </w:t>
            </w:r>
          </w:p>
          <w:p w14:paraId="4591AE2A" w14:textId="472EB19D" w:rsidR="00096403" w:rsidRDefault="007D6C85" w:rsidP="007D6C85">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Nostiprināt</w:t>
            </w:r>
            <w:r w:rsidRPr="00220E4C">
              <w:rPr>
                <w:rFonts w:ascii="Times New Roman" w:hAnsi="Times New Roman" w:cs="Times New Roman"/>
                <w:sz w:val="24"/>
                <w:szCs w:val="24"/>
                <w:lang w:val="lv-LV"/>
              </w:rPr>
              <w:t xml:space="preserve"> uz kompetenču pieeju balstīta izglītības satura ieviešanu, kurā izglītojamiem tiks attīstīti ieradumi, kas balstās vērtībās.</w:t>
            </w:r>
          </w:p>
        </w:tc>
        <w:tc>
          <w:tcPr>
            <w:tcW w:w="2835" w:type="dxa"/>
          </w:tcPr>
          <w:p w14:paraId="53622845" w14:textId="77777777" w:rsidR="00411908" w:rsidRDefault="004C5563" w:rsidP="0041190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096403">
              <w:rPr>
                <w:rFonts w:ascii="Times New Roman" w:hAnsi="Times New Roman" w:cs="Times New Roman"/>
                <w:sz w:val="24"/>
                <w:szCs w:val="24"/>
                <w:lang w:val="lv-LV"/>
              </w:rPr>
              <w:t xml:space="preserve"> kvalitatīvi</w:t>
            </w:r>
            <w:r w:rsidR="00411908" w:rsidRPr="00220E4C">
              <w:rPr>
                <w:rFonts w:ascii="Times New Roman" w:hAnsi="Times New Roman" w:cs="Times New Roman"/>
                <w:sz w:val="24"/>
                <w:szCs w:val="24"/>
                <w:lang w:val="lv-LV"/>
              </w:rPr>
              <w:t xml:space="preserve"> </w:t>
            </w:r>
          </w:p>
          <w:p w14:paraId="68C51B8A" w14:textId="1B743000" w:rsidR="00411908" w:rsidRDefault="00411908" w:rsidP="00411908">
            <w:pPr>
              <w:pStyle w:val="Sarakstarindkopa"/>
              <w:ind w:left="0"/>
              <w:jc w:val="both"/>
              <w:rPr>
                <w:rFonts w:ascii="Times New Roman" w:hAnsi="Times New Roman" w:cs="Times New Roman"/>
                <w:sz w:val="24"/>
                <w:szCs w:val="24"/>
                <w:lang w:val="lv-LV"/>
              </w:rPr>
            </w:pPr>
            <w:r w:rsidRPr="00220E4C">
              <w:rPr>
                <w:rFonts w:ascii="Times New Roman" w:hAnsi="Times New Roman" w:cs="Times New Roman"/>
                <w:sz w:val="24"/>
                <w:szCs w:val="24"/>
                <w:lang w:val="lv-LV"/>
              </w:rPr>
              <w:t>Izglītības iestādes pedagogi ievieš pēdējo divu mācību gadu laikā profesionālās kompetences kursos iegūtās zināšanas, prasmes un kompetences.</w:t>
            </w:r>
          </w:p>
          <w:p w14:paraId="6CBE60C9" w14:textId="77777777" w:rsidR="00411908" w:rsidRPr="00220E4C" w:rsidRDefault="00411908" w:rsidP="00411908">
            <w:pPr>
              <w:pStyle w:val="Sarakstarindkopa"/>
              <w:ind w:left="0"/>
              <w:jc w:val="both"/>
              <w:rPr>
                <w:rFonts w:ascii="Times New Roman" w:hAnsi="Times New Roman" w:cs="Times New Roman"/>
                <w:sz w:val="24"/>
                <w:szCs w:val="24"/>
                <w:lang w:val="lv-LV"/>
              </w:rPr>
            </w:pPr>
            <w:r w:rsidRPr="00220E4C">
              <w:rPr>
                <w:rFonts w:ascii="Times New Roman" w:hAnsi="Times New Roman" w:cs="Times New Roman"/>
                <w:sz w:val="24"/>
                <w:szCs w:val="24"/>
                <w:lang w:val="lv-LV"/>
              </w:rPr>
              <w:t xml:space="preserve">Pedagogi mācīšanas procesā balstās uz </w:t>
            </w:r>
            <w:proofErr w:type="spellStart"/>
            <w:r w:rsidRPr="00220E4C">
              <w:rPr>
                <w:rFonts w:ascii="Times New Roman" w:hAnsi="Times New Roman" w:cs="Times New Roman"/>
                <w:sz w:val="24"/>
                <w:szCs w:val="24"/>
                <w:lang w:val="lv-LV"/>
              </w:rPr>
              <w:t>Gaņjē</w:t>
            </w:r>
            <w:proofErr w:type="spellEnd"/>
            <w:r w:rsidRPr="00220E4C">
              <w:rPr>
                <w:rFonts w:ascii="Times New Roman" w:hAnsi="Times New Roman" w:cs="Times New Roman"/>
                <w:sz w:val="24"/>
                <w:szCs w:val="24"/>
                <w:lang w:val="lv-LV"/>
              </w:rPr>
              <w:t xml:space="preserve"> deviņiem mācību notikumiem. </w:t>
            </w:r>
          </w:p>
          <w:p w14:paraId="00D36AD6" w14:textId="5E93EF30" w:rsidR="00096403" w:rsidRDefault="00411908" w:rsidP="00411908">
            <w:pPr>
              <w:pStyle w:val="Sarakstarindkopa"/>
              <w:ind w:left="0"/>
              <w:jc w:val="both"/>
              <w:rPr>
                <w:rFonts w:ascii="Times New Roman" w:hAnsi="Times New Roman" w:cs="Times New Roman"/>
                <w:sz w:val="24"/>
                <w:szCs w:val="24"/>
                <w:lang w:val="lv-LV"/>
              </w:rPr>
            </w:pPr>
            <w:r w:rsidRPr="00220E4C">
              <w:rPr>
                <w:rFonts w:ascii="Times New Roman" w:hAnsi="Times New Roman" w:cs="Times New Roman"/>
                <w:sz w:val="24"/>
                <w:szCs w:val="24"/>
                <w:lang w:val="lv-LV"/>
              </w:rPr>
              <w:t>Pedagoģiskais personāls izvērtē savu profesionālo darbību, ņemot vērā p</w:t>
            </w:r>
            <w:r>
              <w:rPr>
                <w:rFonts w:ascii="Times New Roman" w:hAnsi="Times New Roman" w:cs="Times New Roman"/>
                <w:sz w:val="24"/>
                <w:szCs w:val="24"/>
                <w:lang w:val="lv-LV"/>
              </w:rPr>
              <w:t>ieejamu</w:t>
            </w:r>
            <w:r w:rsidRPr="00220E4C">
              <w:rPr>
                <w:rFonts w:ascii="Times New Roman" w:hAnsi="Times New Roman" w:cs="Times New Roman"/>
                <w:sz w:val="24"/>
                <w:szCs w:val="24"/>
                <w:lang w:val="lv-LV"/>
              </w:rPr>
              <w:t>s datus (izglītojamo izaugsmes dinamikas, mācību stundu/nodarbību vērošanas rezultāt</w:t>
            </w:r>
            <w:r>
              <w:rPr>
                <w:rFonts w:ascii="Times New Roman" w:hAnsi="Times New Roman" w:cs="Times New Roman"/>
                <w:sz w:val="24"/>
                <w:szCs w:val="24"/>
                <w:lang w:val="lv-LV"/>
              </w:rPr>
              <w:t>us</w:t>
            </w:r>
            <w:r w:rsidRPr="00220E4C">
              <w:rPr>
                <w:rFonts w:ascii="Times New Roman" w:hAnsi="Times New Roman" w:cs="Times New Roman"/>
                <w:sz w:val="24"/>
                <w:szCs w:val="24"/>
                <w:lang w:val="lv-LV"/>
              </w:rPr>
              <w:t>…)</w:t>
            </w:r>
          </w:p>
        </w:tc>
        <w:tc>
          <w:tcPr>
            <w:tcW w:w="3402" w:type="dxa"/>
            <w:shd w:val="clear" w:color="auto" w:fill="auto"/>
          </w:tcPr>
          <w:p w14:paraId="49B64498" w14:textId="30B3475A" w:rsidR="00096403" w:rsidRDefault="00096403" w:rsidP="007D6C85">
            <w:pPr>
              <w:pStyle w:val="Sarakstarindkopa"/>
              <w:ind w:left="0"/>
              <w:jc w:val="both"/>
              <w:rPr>
                <w:rFonts w:ascii="Times New Roman" w:hAnsi="Times New Roman" w:cs="Times New Roman"/>
                <w:sz w:val="24"/>
                <w:szCs w:val="24"/>
                <w:lang w:val="lv-LV"/>
              </w:rPr>
            </w:pPr>
          </w:p>
        </w:tc>
      </w:tr>
      <w:tr w:rsidR="00096403" w14:paraId="186316E9" w14:textId="77777777" w:rsidTr="00411908">
        <w:tc>
          <w:tcPr>
            <w:tcW w:w="2263" w:type="dxa"/>
          </w:tcPr>
          <w:p w14:paraId="6FAE6121" w14:textId="5E630F7C" w:rsidR="00096403" w:rsidRDefault="00096403" w:rsidP="002C7D08">
            <w:pPr>
              <w:pStyle w:val="Sarakstarindkopa"/>
              <w:ind w:left="0"/>
              <w:rPr>
                <w:rFonts w:ascii="Times New Roman" w:hAnsi="Times New Roman" w:cs="Times New Roman"/>
                <w:sz w:val="24"/>
                <w:szCs w:val="24"/>
                <w:lang w:val="lv-LV"/>
              </w:rPr>
            </w:pPr>
          </w:p>
        </w:tc>
        <w:tc>
          <w:tcPr>
            <w:tcW w:w="2835" w:type="dxa"/>
          </w:tcPr>
          <w:p w14:paraId="7F0C8D0B" w14:textId="77777777" w:rsidR="00096403" w:rsidRDefault="004C5563" w:rsidP="0041190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096403">
              <w:rPr>
                <w:rFonts w:ascii="Times New Roman" w:hAnsi="Times New Roman" w:cs="Times New Roman"/>
                <w:sz w:val="24"/>
                <w:szCs w:val="24"/>
                <w:lang w:val="lv-LV"/>
              </w:rPr>
              <w:t xml:space="preserve"> kvantitatīvi</w:t>
            </w:r>
            <w:r w:rsidR="00411908">
              <w:rPr>
                <w:rFonts w:ascii="Times New Roman" w:hAnsi="Times New Roman" w:cs="Times New Roman"/>
                <w:sz w:val="24"/>
                <w:szCs w:val="24"/>
                <w:lang w:val="lv-LV"/>
              </w:rPr>
              <w:t xml:space="preserve"> </w:t>
            </w:r>
          </w:p>
          <w:p w14:paraId="5AAB8A8B" w14:textId="697E8F3B" w:rsidR="00411908" w:rsidRPr="00220E4C" w:rsidRDefault="00411908" w:rsidP="0041190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20E4C">
              <w:rPr>
                <w:rFonts w:ascii="Times New Roman" w:hAnsi="Times New Roman" w:cs="Times New Roman"/>
                <w:sz w:val="24"/>
                <w:szCs w:val="24"/>
                <w:lang w:val="lv-LV"/>
              </w:rPr>
              <w:t>Mācību stundās (50-75% vērotajās) tiek veikta mācību un audzināšanas procesa diferenciācija un individualizācija, to pielāgojot atbilstoši izglītojamo spējām, vajadzībām un interesēm</w:t>
            </w:r>
          </w:p>
          <w:p w14:paraId="0FD134E3" w14:textId="23F58C24" w:rsidR="00411908" w:rsidRDefault="00411908" w:rsidP="0041190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20E4C">
              <w:rPr>
                <w:rFonts w:ascii="Times New Roman" w:hAnsi="Times New Roman" w:cs="Times New Roman"/>
                <w:sz w:val="24"/>
                <w:szCs w:val="24"/>
                <w:lang w:val="lv-LV"/>
              </w:rPr>
              <w:t>Vairāk nekā pusei izglītojamo (51 – 74%) ir novērojams progress, salīdzinot viņu iepriekšējā mācību posma noslēguma rezultātus ar šī mācību posma noslēguma rezultātiem.</w:t>
            </w:r>
          </w:p>
        </w:tc>
        <w:tc>
          <w:tcPr>
            <w:tcW w:w="3402" w:type="dxa"/>
            <w:shd w:val="clear" w:color="auto" w:fill="auto"/>
          </w:tcPr>
          <w:p w14:paraId="67E6B2B7" w14:textId="1532D895" w:rsidR="00096403" w:rsidRDefault="00CF13C1" w:rsidP="00CF13C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060A9776"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p w14:paraId="14F7AA17" w14:textId="7387DFD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21B8857" w14:textId="77777777" w:rsidTr="0095033A">
        <w:tc>
          <w:tcPr>
            <w:tcW w:w="4607"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29B1257" w14:textId="77777777" w:rsidR="00E45E82" w:rsidRPr="0095033A" w:rsidRDefault="00E45E82"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22962" w:rsidRPr="008477FF" w14:paraId="2B34C77E" w14:textId="77777777" w:rsidTr="0095033A">
        <w:tc>
          <w:tcPr>
            <w:tcW w:w="4607" w:type="dxa"/>
          </w:tcPr>
          <w:p w14:paraId="254A71A9" w14:textId="784754D4" w:rsidR="00E22962" w:rsidRPr="00AD0126" w:rsidRDefault="00E22962" w:rsidP="00E2296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iestādes vairāk nekā 50% izglītojamo ikdienas mācību procesā sasniedza 5 – 7 balles. Izglītojamo mācību sasniegumus veicina </w:t>
            </w:r>
            <w:proofErr w:type="spellStart"/>
            <w:r>
              <w:rPr>
                <w:rFonts w:ascii="Times New Roman" w:eastAsia="Times New Roman" w:hAnsi="Times New Roman" w:cs="Times New Roman"/>
                <w:lang w:val="lv-LV"/>
              </w:rPr>
              <w:t>formatīvās</w:t>
            </w:r>
            <w:proofErr w:type="spellEnd"/>
            <w:r>
              <w:rPr>
                <w:rFonts w:ascii="Times New Roman" w:eastAsia="Times New Roman" w:hAnsi="Times New Roman" w:cs="Times New Roman"/>
                <w:lang w:val="lv-LV"/>
              </w:rPr>
              <w:t xml:space="preserve"> vērtēšanas sistēma. Izglītības iestāde lielā mērā ir sasniegusi savus noteiktos mācību satura apguves rādītājus katras īstenotās izglītības programmas noslēgumā.</w:t>
            </w:r>
          </w:p>
        </w:tc>
        <w:tc>
          <w:tcPr>
            <w:tcW w:w="4607" w:type="dxa"/>
          </w:tcPr>
          <w:p w14:paraId="638E37D5" w14:textId="77777777" w:rsidR="00E22962" w:rsidRPr="004A58A4" w:rsidRDefault="00E22962" w:rsidP="00E22962">
            <w:pPr>
              <w:jc w:val="both"/>
              <w:rPr>
                <w:rFonts w:ascii="Times New Roman" w:eastAsia="Times New Roman" w:hAnsi="Times New Roman" w:cs="Times New Roman"/>
                <w:lang w:val="lv-LV"/>
              </w:rPr>
            </w:pPr>
            <w:r w:rsidRPr="004A58A4">
              <w:rPr>
                <w:rFonts w:ascii="Times New Roman" w:eastAsia="Times New Roman" w:hAnsi="Times New Roman" w:cs="Times New Roman"/>
                <w:lang w:val="lv-LV"/>
              </w:rPr>
              <w:t xml:space="preserve">Jāpilnveido sistēma, kas ikdienas mācību procesā </w:t>
            </w:r>
            <w:r>
              <w:rPr>
                <w:rFonts w:ascii="Times New Roman" w:eastAsia="Times New Roman" w:hAnsi="Times New Roman" w:cs="Times New Roman"/>
                <w:lang w:val="lv-LV"/>
              </w:rPr>
              <w:t xml:space="preserve">sniedz </w:t>
            </w:r>
            <w:r w:rsidRPr="004A58A4">
              <w:rPr>
                <w:rFonts w:ascii="Times New Roman" w:eastAsia="Times New Roman" w:hAnsi="Times New Roman" w:cs="Times New Roman"/>
                <w:lang w:val="lv-LV"/>
              </w:rPr>
              <w:t xml:space="preserve">iespēju </w:t>
            </w:r>
            <w:r>
              <w:rPr>
                <w:rFonts w:ascii="Times New Roman" w:eastAsia="Times New Roman" w:hAnsi="Times New Roman" w:cs="Times New Roman"/>
                <w:lang w:val="lv-LV"/>
              </w:rPr>
              <w:t>60</w:t>
            </w:r>
            <w:r w:rsidRPr="004A58A4">
              <w:rPr>
                <w:rFonts w:ascii="Times New Roman" w:eastAsia="Times New Roman" w:hAnsi="Times New Roman" w:cs="Times New Roman"/>
                <w:lang w:val="lv-LV"/>
              </w:rPr>
              <w:t xml:space="preserve">% izglītojamiem sasniegt 5-7 balles. </w:t>
            </w:r>
          </w:p>
          <w:p w14:paraId="33F72435" w14:textId="21BC5FB6" w:rsidR="00E22962" w:rsidRPr="008477FF" w:rsidRDefault="00E22962" w:rsidP="00E22962">
            <w:pPr>
              <w:pStyle w:val="Sarakstarindkopa"/>
              <w:ind w:left="0"/>
              <w:jc w:val="both"/>
              <w:rPr>
                <w:rFonts w:ascii="Times New Roman" w:eastAsia="Times New Roman" w:hAnsi="Times New Roman" w:cs="Times New Roman"/>
                <w:color w:val="414142"/>
                <w:sz w:val="24"/>
                <w:szCs w:val="24"/>
                <w:lang w:val="lv-LV"/>
              </w:rPr>
            </w:pPr>
          </w:p>
        </w:tc>
      </w:tr>
      <w:tr w:rsidR="00E22962" w:rsidRPr="008477FF" w14:paraId="6E61A732" w14:textId="77777777" w:rsidTr="0095033A">
        <w:tc>
          <w:tcPr>
            <w:tcW w:w="4607" w:type="dxa"/>
          </w:tcPr>
          <w:p w14:paraId="22D5F621" w14:textId="55954B14" w:rsidR="00E22962" w:rsidRPr="008477FF" w:rsidRDefault="00E22962" w:rsidP="00E2296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iestādei ir izglītojamo zināšanu, prasmju un kompetenču diagnostikas sistēma pārejas posmos (1.-3.klase, 4.-6.klase, 7.-9.klase). Mazāk kā pusei izglītojamo (46%) ir novērojams progress, salīdzinot viņu iepriekšējā mācību  posma noslēguma rezultātus ar šī mācību gada rezultātiem.</w:t>
            </w:r>
          </w:p>
        </w:tc>
        <w:tc>
          <w:tcPr>
            <w:tcW w:w="4607" w:type="dxa"/>
          </w:tcPr>
          <w:p w14:paraId="0550232A" w14:textId="5B6E248B" w:rsidR="00E22962" w:rsidRPr="008477FF" w:rsidRDefault="00E22962" w:rsidP="00E2296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Jāpilnveido sistēma, kas veicinātu  vairāk nekā pusei izglītojamo progresu, salīdzinot viņu iepriekšējā mācību gada noslēguma rezultātus ar konkrētā posma noslēguma rezultātiem.</w:t>
            </w:r>
          </w:p>
        </w:tc>
      </w:tr>
      <w:tr w:rsidR="00E22962" w:rsidRPr="008477FF" w14:paraId="6E2FE0EF" w14:textId="77777777" w:rsidTr="0095033A">
        <w:tc>
          <w:tcPr>
            <w:tcW w:w="4607" w:type="dxa"/>
          </w:tcPr>
          <w:p w14:paraId="3358180F" w14:textId="6BDF12EC" w:rsidR="00E22962" w:rsidRPr="008477FF" w:rsidRDefault="00E22962" w:rsidP="00E2296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iestādei vairākus gadus pēc kārtas atsevišķās jomās ir augsti sasniegumi olimpiādēs, konkursos. Vairāki pedagogi veiksmīgi izcilību izglītojamajos.</w:t>
            </w:r>
          </w:p>
        </w:tc>
        <w:tc>
          <w:tcPr>
            <w:tcW w:w="4607" w:type="dxa"/>
          </w:tcPr>
          <w:p w14:paraId="559FCAB2" w14:textId="77777777" w:rsidR="00E22962" w:rsidRPr="008477FF" w:rsidRDefault="00E22962" w:rsidP="00E22962">
            <w:pPr>
              <w:pStyle w:val="Sarakstarindkopa"/>
              <w:ind w:left="0"/>
              <w:jc w:val="both"/>
              <w:rPr>
                <w:rFonts w:ascii="Times New Roman" w:eastAsia="Times New Roman" w:hAnsi="Times New Roman" w:cs="Times New Roman"/>
                <w:color w:val="414142"/>
                <w:sz w:val="24"/>
                <w:szCs w:val="24"/>
                <w:lang w:val="lv-LV"/>
              </w:rPr>
            </w:pPr>
          </w:p>
        </w:tc>
      </w:tr>
      <w:tr w:rsidR="00E22962" w:rsidRPr="008477FF" w14:paraId="4BFBC983" w14:textId="77777777" w:rsidTr="0095033A">
        <w:tc>
          <w:tcPr>
            <w:tcW w:w="4607" w:type="dxa"/>
          </w:tcPr>
          <w:p w14:paraId="3DD51B99" w14:textId="76148124" w:rsidR="00E22962" w:rsidRPr="008477FF" w:rsidRDefault="00E22962" w:rsidP="00E22962">
            <w:pPr>
              <w:pStyle w:val="Sarakstarindkopa"/>
              <w:ind w:left="0"/>
              <w:jc w:val="both"/>
              <w:rPr>
                <w:rFonts w:ascii="Times New Roman" w:eastAsia="Times New Roman" w:hAnsi="Times New Roman" w:cs="Times New Roman"/>
                <w:color w:val="414142"/>
                <w:sz w:val="24"/>
                <w:szCs w:val="24"/>
                <w:lang w:val="lv-LV"/>
              </w:rPr>
            </w:pPr>
            <w:r w:rsidRPr="004A58A4">
              <w:rPr>
                <w:rFonts w:ascii="Times New Roman" w:eastAsia="Times New Roman" w:hAnsi="Times New Roman" w:cs="Times New Roman"/>
                <w:lang w:val="lv-LV"/>
              </w:rPr>
              <w:t xml:space="preserve">Audzināšanas darba prioritāro uzdevumu noteikšanā iesaistīta lielākā daļa </w:t>
            </w:r>
            <w:proofErr w:type="spellStart"/>
            <w:r w:rsidRPr="004A58A4">
              <w:rPr>
                <w:rFonts w:ascii="Times New Roman" w:eastAsia="Times New Roman" w:hAnsi="Times New Roman" w:cs="Times New Roman"/>
                <w:lang w:val="lv-LV"/>
              </w:rPr>
              <w:t>mērķgrupu</w:t>
            </w:r>
            <w:proofErr w:type="spellEnd"/>
            <w:r>
              <w:rPr>
                <w:rFonts w:ascii="Times New Roman" w:eastAsia="Times New Roman" w:hAnsi="Times New Roman" w:cs="Times New Roman"/>
                <w:lang w:val="lv-LV"/>
              </w:rPr>
              <w:t xml:space="preserve">, sasniedzamie rezultāti tiek izvirzīti balstoties uz iegūtajiem datiem un informāciju. Ir izveidota sistēma, kuras rezultātā izglītojamie ikdienas </w:t>
            </w:r>
            <w:r>
              <w:rPr>
                <w:rFonts w:ascii="Times New Roman" w:eastAsia="Times New Roman" w:hAnsi="Times New Roman" w:cs="Times New Roman"/>
                <w:lang w:val="lv-LV"/>
              </w:rPr>
              <w:lastRenderedPageBreak/>
              <w:t xml:space="preserve">mācību procesā un </w:t>
            </w:r>
            <w:proofErr w:type="spellStart"/>
            <w:r>
              <w:rPr>
                <w:rFonts w:ascii="Times New Roman" w:eastAsia="Times New Roman" w:hAnsi="Times New Roman" w:cs="Times New Roman"/>
                <w:lang w:val="lv-LV"/>
              </w:rPr>
              <w:t>ārpusstundu</w:t>
            </w:r>
            <w:proofErr w:type="spellEnd"/>
            <w:r>
              <w:rPr>
                <w:rFonts w:ascii="Times New Roman" w:eastAsia="Times New Roman" w:hAnsi="Times New Roman" w:cs="Times New Roman"/>
                <w:lang w:val="lv-LV"/>
              </w:rPr>
              <w:t xml:space="preserve"> aktivitātēs apgūst pilsoniskās līdzdalības pieredzi.</w:t>
            </w:r>
          </w:p>
        </w:tc>
        <w:tc>
          <w:tcPr>
            <w:tcW w:w="4607" w:type="dxa"/>
          </w:tcPr>
          <w:p w14:paraId="33909047" w14:textId="0BAB3C37" w:rsidR="00E22962" w:rsidRPr="008477FF" w:rsidRDefault="00E22962" w:rsidP="00E22962">
            <w:pPr>
              <w:pStyle w:val="Sarakstarindkopa"/>
              <w:ind w:left="0"/>
              <w:jc w:val="both"/>
              <w:rPr>
                <w:rFonts w:ascii="Times New Roman" w:eastAsia="Times New Roman" w:hAnsi="Times New Roman" w:cs="Times New Roman"/>
                <w:color w:val="414142"/>
                <w:sz w:val="24"/>
                <w:szCs w:val="24"/>
                <w:lang w:val="lv-LV"/>
              </w:rPr>
            </w:pPr>
          </w:p>
        </w:tc>
      </w:tr>
    </w:tbl>
    <w:p w14:paraId="2582D71D" w14:textId="77777777" w:rsidR="00E45E82" w:rsidRPr="00446618" w:rsidRDefault="00E45E82" w:rsidP="00E45E82">
      <w:pPr>
        <w:pStyle w:val="Sarakstarindkopa"/>
        <w:spacing w:after="0" w:line="240" w:lineRule="auto"/>
        <w:ind w:left="426"/>
        <w:jc w:val="both"/>
        <w:rPr>
          <w:rFonts w:ascii="Times New Roman" w:hAnsi="Times New Roman" w:cs="Times New Roman"/>
          <w:sz w:val="24"/>
          <w:szCs w:val="24"/>
          <w:lang w:val="lv-LV"/>
        </w:rPr>
      </w:pPr>
    </w:p>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327D6D1F" w14:textId="12A38D5C" w:rsid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p>
    <w:p w14:paraId="54641510"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95033A">
        <w:tc>
          <w:tcPr>
            <w:tcW w:w="4607" w:type="dxa"/>
          </w:tcPr>
          <w:p w14:paraId="21460947" w14:textId="77777777" w:rsidR="00E45E82" w:rsidRPr="0095033A" w:rsidRDefault="00E45E82"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6DEA3B0" w14:textId="77777777" w:rsidR="00E45E82" w:rsidRPr="0095033A" w:rsidRDefault="00E45E82"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44B80" w:rsidRPr="008477FF" w14:paraId="1044EF90" w14:textId="77777777" w:rsidTr="0095033A">
        <w:tc>
          <w:tcPr>
            <w:tcW w:w="4607" w:type="dxa"/>
          </w:tcPr>
          <w:p w14:paraId="39B2233A" w14:textId="5E9AF093" w:rsidR="00B44B80" w:rsidRPr="008477FF" w:rsidRDefault="00B44B80" w:rsidP="00B44B8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iestādē ir vienota izpratne par vienlīdzību un iekļaušanu. Iestādē nav sastopama diskriminācija, ksenofobija, neiecietības izpausmes izpaužas reti. Tiek veidota iekļaujoša mācību vide un tiek īstenota vienlīdzīga attieksme. </w:t>
            </w:r>
            <w:proofErr w:type="spellStart"/>
            <w:r>
              <w:rPr>
                <w:rFonts w:ascii="Times New Roman" w:eastAsia="Times New Roman" w:hAnsi="Times New Roman" w:cs="Times New Roman"/>
                <w:lang w:val="lv-LV"/>
              </w:rPr>
              <w:t>Problēmsituāciju</w:t>
            </w:r>
            <w:proofErr w:type="spellEnd"/>
            <w:r>
              <w:rPr>
                <w:rFonts w:ascii="Times New Roman" w:eastAsia="Times New Roman" w:hAnsi="Times New Roman" w:cs="Times New Roman"/>
                <w:lang w:val="lv-LV"/>
              </w:rPr>
              <w:t xml:space="preserve"> gadījumā tiek nodrošināts nepieciešamais atbalsts. </w:t>
            </w:r>
          </w:p>
        </w:tc>
        <w:tc>
          <w:tcPr>
            <w:tcW w:w="4607" w:type="dxa"/>
          </w:tcPr>
          <w:p w14:paraId="01FE3507" w14:textId="614B8EAF" w:rsidR="00B44B80" w:rsidRPr="008477FF" w:rsidRDefault="00B44B80" w:rsidP="00B44B8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Pilnveidot iekļaujošu un atbalstošu vidi apvienotajās klasēs.</w:t>
            </w:r>
          </w:p>
        </w:tc>
      </w:tr>
      <w:tr w:rsidR="00B44B80" w:rsidRPr="008477FF" w14:paraId="266EA1C1" w14:textId="77777777" w:rsidTr="0095033A">
        <w:tc>
          <w:tcPr>
            <w:tcW w:w="4607" w:type="dxa"/>
          </w:tcPr>
          <w:p w14:paraId="3FA72CA0" w14:textId="631B1B3F" w:rsidR="00B44B80" w:rsidRPr="008477FF" w:rsidRDefault="00B44B80" w:rsidP="00B44B8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iestādē ir vienota izpratne par vienlīdzību un iekļaušanu. Iestādē nav sastopama diskriminācija, ksenofobija, neiecietības izpausmes izpaužas reti. Tiek veidota iekļaujoša mācību vide un tiek īstenota vienlīdzīga attieksme. </w:t>
            </w:r>
            <w:proofErr w:type="spellStart"/>
            <w:r>
              <w:rPr>
                <w:rFonts w:ascii="Times New Roman" w:eastAsia="Times New Roman" w:hAnsi="Times New Roman" w:cs="Times New Roman"/>
                <w:lang w:val="lv-LV"/>
              </w:rPr>
              <w:t>Problēmsituāciju</w:t>
            </w:r>
            <w:proofErr w:type="spellEnd"/>
            <w:r>
              <w:rPr>
                <w:rFonts w:ascii="Times New Roman" w:eastAsia="Times New Roman" w:hAnsi="Times New Roman" w:cs="Times New Roman"/>
                <w:lang w:val="lv-LV"/>
              </w:rPr>
              <w:t xml:space="preserve"> gadījumā tiek nodrošināts nepieciešamais atbalsts. </w:t>
            </w:r>
          </w:p>
        </w:tc>
        <w:tc>
          <w:tcPr>
            <w:tcW w:w="4607" w:type="dxa"/>
          </w:tcPr>
          <w:p w14:paraId="0B67C148" w14:textId="21F134DA" w:rsidR="00B44B80" w:rsidRPr="008477FF" w:rsidRDefault="00B44B80" w:rsidP="00B44B8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Pilnveidot iekļaujošu un atbalstošu vidi apvienotajās klasēs.</w:t>
            </w:r>
          </w:p>
        </w:tc>
      </w:tr>
    </w:tbl>
    <w:p w14:paraId="1C70DCDF" w14:textId="0FA34CBC" w:rsidR="00446618" w:rsidRDefault="00446618" w:rsidP="00446618">
      <w:pPr>
        <w:spacing w:after="0" w:line="240" w:lineRule="auto"/>
        <w:jc w:val="both"/>
        <w:rPr>
          <w:rFonts w:ascii="Times New Roman" w:hAnsi="Times New Roman" w:cs="Times New Roman"/>
          <w:sz w:val="24"/>
          <w:szCs w:val="24"/>
          <w:lang w:val="lv-LV"/>
        </w:rPr>
      </w:pPr>
    </w:p>
    <w:p w14:paraId="06C378A1" w14:textId="13F77209" w:rsidR="009B1634" w:rsidRDefault="009B1634" w:rsidP="00446618">
      <w:pPr>
        <w:spacing w:after="0" w:line="240" w:lineRule="auto"/>
        <w:jc w:val="both"/>
        <w:rPr>
          <w:rFonts w:ascii="Times New Roman" w:hAnsi="Times New Roman" w:cs="Times New Roman"/>
          <w:sz w:val="24"/>
          <w:szCs w:val="24"/>
          <w:lang w:val="lv-LV"/>
        </w:rPr>
      </w:pPr>
    </w:p>
    <w:p w14:paraId="16DE89EE" w14:textId="77777777" w:rsidR="009B1634" w:rsidRDefault="009B1634" w:rsidP="00446618">
      <w:pPr>
        <w:spacing w:after="0" w:line="240" w:lineRule="auto"/>
        <w:jc w:val="both"/>
        <w:rPr>
          <w:rFonts w:ascii="Times New Roman" w:hAnsi="Times New Roman" w:cs="Times New Roman"/>
          <w:sz w:val="24"/>
          <w:szCs w:val="24"/>
          <w:lang w:val="lv-LV"/>
        </w:rPr>
      </w:pPr>
    </w:p>
    <w:p w14:paraId="4C6C8DC1" w14:textId="2772B9DF" w:rsidR="00E45E82" w:rsidRDefault="00531A5C" w:rsidP="00E45E8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p w14:paraId="049AD2C8"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95033A">
        <w:tc>
          <w:tcPr>
            <w:tcW w:w="4607" w:type="dxa"/>
          </w:tcPr>
          <w:p w14:paraId="2954A220" w14:textId="77777777" w:rsidR="00E45E82" w:rsidRPr="0095033A" w:rsidRDefault="00E45E82"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EDC7473" w14:textId="77777777" w:rsidR="00E45E82" w:rsidRPr="0095033A" w:rsidRDefault="00E45E82"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0469F" w:rsidRPr="008477FF" w14:paraId="1DA5949C" w14:textId="77777777" w:rsidTr="0095033A">
        <w:tc>
          <w:tcPr>
            <w:tcW w:w="4607" w:type="dxa"/>
          </w:tcPr>
          <w:p w14:paraId="0569AE62" w14:textId="72A684CE" w:rsidR="0090469F" w:rsidRPr="008477FF" w:rsidRDefault="0090469F" w:rsidP="0090469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iestādē dažādām </w:t>
            </w:r>
            <w:proofErr w:type="spellStart"/>
            <w:r>
              <w:rPr>
                <w:rFonts w:ascii="Times New Roman" w:eastAsia="Times New Roman" w:hAnsi="Times New Roman" w:cs="Times New Roman"/>
                <w:lang w:val="lv-LV"/>
              </w:rPr>
              <w:t>m</w:t>
            </w:r>
            <w:r w:rsidRPr="005467E7">
              <w:rPr>
                <w:rFonts w:ascii="Times New Roman" w:eastAsia="Times New Roman" w:hAnsi="Times New Roman" w:cs="Times New Roman"/>
                <w:lang w:val="lv-LV"/>
              </w:rPr>
              <w:t>ērķgrupām</w:t>
            </w:r>
            <w:proofErr w:type="spellEnd"/>
            <w:r w:rsidRPr="005467E7">
              <w:rPr>
                <w:rFonts w:ascii="Times New Roman" w:eastAsia="Times New Roman" w:hAnsi="Times New Roman" w:cs="Times New Roman"/>
                <w:lang w:val="lv-LV"/>
              </w:rPr>
              <w:t xml:space="preserve"> ir izpratne par </w:t>
            </w:r>
            <w:r>
              <w:rPr>
                <w:rFonts w:ascii="Times New Roman" w:eastAsia="Times New Roman" w:hAnsi="Times New Roman" w:cs="Times New Roman"/>
                <w:lang w:val="lv-LV"/>
              </w:rPr>
              <w:t xml:space="preserve">faktoriem, kuri ietekmē izglītības pieejamību, skaidrība  par </w:t>
            </w:r>
            <w:r w:rsidRPr="005467E7">
              <w:rPr>
                <w:rFonts w:ascii="Times New Roman" w:eastAsia="Times New Roman" w:hAnsi="Times New Roman" w:cs="Times New Roman"/>
                <w:lang w:val="lv-LV"/>
              </w:rPr>
              <w:t>izglītības programmu piedāvājum</w:t>
            </w:r>
            <w:r>
              <w:rPr>
                <w:rFonts w:ascii="Times New Roman" w:eastAsia="Times New Roman" w:hAnsi="Times New Roman" w:cs="Times New Roman"/>
                <w:lang w:val="lv-LV"/>
              </w:rPr>
              <w:t xml:space="preserve">u, sociālekonomiskajiem faktoriem, kuri sekmē izglītības pieejamību izglītojamiem un īstenoto pedagoģisko pieeju un tās  atbilstību </w:t>
            </w:r>
            <w:r w:rsidRPr="005467E7">
              <w:rPr>
                <w:rFonts w:ascii="Times New Roman" w:eastAsia="Times New Roman" w:hAnsi="Times New Roman" w:cs="Times New Roman"/>
                <w:lang w:val="lv-LV"/>
              </w:rPr>
              <w:t>izglītojam</w:t>
            </w:r>
            <w:r>
              <w:rPr>
                <w:rFonts w:ascii="Times New Roman" w:eastAsia="Times New Roman" w:hAnsi="Times New Roman" w:cs="Times New Roman"/>
                <w:lang w:val="lv-LV"/>
              </w:rPr>
              <w:t xml:space="preserve">o spējām, vajadzībām. </w:t>
            </w:r>
          </w:p>
        </w:tc>
        <w:tc>
          <w:tcPr>
            <w:tcW w:w="4607" w:type="dxa"/>
          </w:tcPr>
          <w:p w14:paraId="4253A31E" w14:textId="7A6B8609" w:rsidR="0090469F" w:rsidRPr="008477FF" w:rsidRDefault="00DB31DA" w:rsidP="0090469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Jāpilnveido izglītības iestādes piedāvājums mainīgajām sabiedrības vajadzībām.</w:t>
            </w:r>
          </w:p>
        </w:tc>
      </w:tr>
      <w:tr w:rsidR="0090469F" w:rsidRPr="008477FF" w14:paraId="6DDC0F9E" w14:textId="77777777" w:rsidTr="000C782B">
        <w:tc>
          <w:tcPr>
            <w:tcW w:w="4607" w:type="dxa"/>
            <w:tcBorders>
              <w:bottom w:val="single" w:sz="4" w:space="0" w:color="auto"/>
            </w:tcBorders>
          </w:tcPr>
          <w:p w14:paraId="7442EEEC" w14:textId="6D0ABB39" w:rsidR="0090469F" w:rsidRPr="008477FF" w:rsidRDefault="0090469F" w:rsidP="0090469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 nodrošina pietiekamu vides pieejamību un izglītības programmas pielāgošanu izglītojamiem ar speciālām vajadzībām klātienē un attālināti.</w:t>
            </w:r>
          </w:p>
        </w:tc>
        <w:tc>
          <w:tcPr>
            <w:tcW w:w="4607" w:type="dxa"/>
            <w:tcBorders>
              <w:bottom w:val="single" w:sz="4" w:space="0" w:color="auto"/>
            </w:tcBorders>
          </w:tcPr>
          <w:p w14:paraId="46D4D429" w14:textId="77777777" w:rsidR="0090469F" w:rsidRPr="008477FF" w:rsidRDefault="0090469F" w:rsidP="0090469F">
            <w:pPr>
              <w:pStyle w:val="Sarakstarindkopa"/>
              <w:ind w:left="0"/>
              <w:jc w:val="both"/>
              <w:rPr>
                <w:rFonts w:ascii="Times New Roman" w:eastAsia="Times New Roman" w:hAnsi="Times New Roman" w:cs="Times New Roman"/>
                <w:color w:val="414142"/>
                <w:sz w:val="24"/>
                <w:szCs w:val="24"/>
                <w:lang w:val="lv-LV"/>
              </w:rPr>
            </w:pPr>
          </w:p>
        </w:tc>
      </w:tr>
      <w:tr w:rsidR="0090469F" w:rsidRPr="008477FF" w14:paraId="25DBCBE4" w14:textId="77777777" w:rsidTr="000C782B">
        <w:tc>
          <w:tcPr>
            <w:tcW w:w="4607" w:type="dxa"/>
            <w:tcBorders>
              <w:bottom w:val="single" w:sz="4" w:space="0" w:color="auto"/>
            </w:tcBorders>
          </w:tcPr>
          <w:p w14:paraId="2E5021BA" w14:textId="304E902C" w:rsidR="0090469F" w:rsidRPr="008477FF" w:rsidRDefault="0090469F" w:rsidP="0090469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iestādei sadarbībā ar dibinātāju ir izstrādāti un pieejami risinājumi, kā izglītojamiem mazināt priekšlaicīgas mācību pārtraukšanas riskus. Atsevišķos gadījumos to efektivitāte nav pietiekama. </w:t>
            </w:r>
          </w:p>
        </w:tc>
        <w:tc>
          <w:tcPr>
            <w:tcW w:w="4607" w:type="dxa"/>
            <w:tcBorders>
              <w:bottom w:val="single" w:sz="4" w:space="0" w:color="auto"/>
            </w:tcBorders>
          </w:tcPr>
          <w:p w14:paraId="532AA3D4" w14:textId="77777777" w:rsidR="0090469F" w:rsidRPr="008477FF" w:rsidRDefault="0090469F" w:rsidP="0090469F">
            <w:pPr>
              <w:pStyle w:val="Sarakstarindkopa"/>
              <w:ind w:left="0"/>
              <w:jc w:val="both"/>
              <w:rPr>
                <w:rFonts w:ascii="Times New Roman" w:eastAsia="Times New Roman" w:hAnsi="Times New Roman" w:cs="Times New Roman"/>
                <w:color w:val="414142"/>
                <w:sz w:val="24"/>
                <w:szCs w:val="24"/>
                <w:lang w:val="lv-LV"/>
              </w:rPr>
            </w:pPr>
          </w:p>
        </w:tc>
      </w:tr>
    </w:tbl>
    <w:p w14:paraId="1D88EF64" w14:textId="77777777" w:rsidR="00E45E82" w:rsidRPr="00E45E82" w:rsidRDefault="00E45E82" w:rsidP="00E45E82">
      <w:pPr>
        <w:pStyle w:val="Sarakstarindkopa"/>
        <w:spacing w:after="0" w:line="240" w:lineRule="auto"/>
        <w:ind w:left="426"/>
        <w:jc w:val="both"/>
        <w:rPr>
          <w:rFonts w:ascii="Times New Roman" w:hAnsi="Times New Roman" w:cs="Times New Roman"/>
          <w:sz w:val="24"/>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7751635F" w:rsidR="00446618" w:rsidRP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95033A">
        <w:tc>
          <w:tcPr>
            <w:tcW w:w="4607" w:type="dxa"/>
          </w:tcPr>
          <w:p w14:paraId="3927A4EB" w14:textId="77777777" w:rsidR="00E45E82" w:rsidRPr="0095033A" w:rsidRDefault="00E45E82"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0EEADAD" w14:textId="77777777" w:rsidR="00E45E82" w:rsidRPr="0095033A" w:rsidRDefault="00E45E82"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6E3A9D" w:rsidRPr="008477FF" w14:paraId="6660FA8E" w14:textId="77777777" w:rsidTr="0095033A">
        <w:tc>
          <w:tcPr>
            <w:tcW w:w="4607" w:type="dxa"/>
          </w:tcPr>
          <w:p w14:paraId="7F8BDFEA" w14:textId="00C0EC32" w:rsidR="006E3A9D" w:rsidRPr="008477FF" w:rsidRDefault="006E3A9D" w:rsidP="006E3A9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lastRenderedPageBreak/>
              <w:t xml:space="preserve">Izglītības iestādē, iesaistoties dažādām </w:t>
            </w:r>
            <w:proofErr w:type="spellStart"/>
            <w:r>
              <w:rPr>
                <w:rFonts w:ascii="Times New Roman" w:eastAsia="Times New Roman" w:hAnsi="Times New Roman" w:cs="Times New Roman"/>
                <w:lang w:val="lv-LV"/>
              </w:rPr>
              <w:t>mērķgrupām</w:t>
            </w:r>
            <w:proofErr w:type="spellEnd"/>
            <w:r>
              <w:rPr>
                <w:rFonts w:ascii="Times New Roman" w:eastAsia="Times New Roman" w:hAnsi="Times New Roman" w:cs="Times New Roman"/>
                <w:lang w:val="lv-LV"/>
              </w:rPr>
              <w:t>, ir izstrādāti iekšējās kārtības un drošības noteikumi, darba kārtības noteikumi, trešo personu uzturēšanas kārtība. Izglītības iestādē ir vienota izpratne par drošu un labvēlīgu vidi, labu uzvedību un savstarpējo cieņu. Visi iestādes darbinieki līdzīgi to ievēro. Drošības un kārtības noteikumi katru gadu tiek aktualizēti. Lielākā daļa izglītojamo izprot noteikumu nozīmi un nepieciešamību, tos ievēro.</w:t>
            </w:r>
          </w:p>
        </w:tc>
        <w:tc>
          <w:tcPr>
            <w:tcW w:w="4607" w:type="dxa"/>
          </w:tcPr>
          <w:p w14:paraId="341A0C92" w14:textId="3ECB2C9E" w:rsidR="006E3A9D" w:rsidRPr="008477FF" w:rsidRDefault="006E3A9D" w:rsidP="006E3A9D">
            <w:pPr>
              <w:pStyle w:val="Sarakstarindkopa"/>
              <w:ind w:left="0"/>
              <w:jc w:val="both"/>
              <w:rPr>
                <w:rFonts w:ascii="Times New Roman" w:eastAsia="Times New Roman" w:hAnsi="Times New Roman" w:cs="Times New Roman"/>
                <w:color w:val="414142"/>
                <w:sz w:val="24"/>
                <w:szCs w:val="24"/>
                <w:lang w:val="lv-LV"/>
              </w:rPr>
            </w:pPr>
          </w:p>
        </w:tc>
      </w:tr>
      <w:tr w:rsidR="006E3A9D" w:rsidRPr="008477FF" w14:paraId="38B7095A" w14:textId="77777777" w:rsidTr="0095033A">
        <w:tc>
          <w:tcPr>
            <w:tcW w:w="4607" w:type="dxa"/>
          </w:tcPr>
          <w:p w14:paraId="3178F84C" w14:textId="07856023" w:rsidR="006E3A9D" w:rsidRPr="008477FF" w:rsidRDefault="006E3A9D" w:rsidP="006E3A9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iestādē ir izstrādāta un darbojas kārtība, kādā tiek risināti drošības noteikumu pārkāpumi. Lai izprastu situāciju un novērstu drošības ievērošanas pārkāpumus, izglītības iestādes vadība risina radušās problēmas, arī iesaistot citas institūcijas. Tiek veikts preventīvs darbs. Izglītības iestādē ir kārtība, kā rīkoties ārkārtas gadījumos, ko zina darbinieki un izglītojamie. </w:t>
            </w:r>
          </w:p>
        </w:tc>
        <w:tc>
          <w:tcPr>
            <w:tcW w:w="4607" w:type="dxa"/>
          </w:tcPr>
          <w:p w14:paraId="08DA45DE" w14:textId="45B67235" w:rsidR="006E3A9D" w:rsidRPr="008477FF" w:rsidRDefault="006E3A9D" w:rsidP="006E3A9D">
            <w:pPr>
              <w:pStyle w:val="Sarakstarindkopa"/>
              <w:ind w:left="0"/>
              <w:jc w:val="both"/>
              <w:rPr>
                <w:rFonts w:ascii="Times New Roman" w:eastAsia="Times New Roman" w:hAnsi="Times New Roman" w:cs="Times New Roman"/>
                <w:color w:val="414142"/>
                <w:sz w:val="24"/>
                <w:szCs w:val="24"/>
                <w:lang w:val="lv-LV"/>
              </w:rPr>
            </w:pPr>
          </w:p>
        </w:tc>
      </w:tr>
      <w:tr w:rsidR="006E3A9D" w:rsidRPr="008477FF" w14:paraId="002659D6" w14:textId="77777777" w:rsidTr="0095033A">
        <w:tc>
          <w:tcPr>
            <w:tcW w:w="4607" w:type="dxa"/>
          </w:tcPr>
          <w:p w14:paraId="60EE81E8" w14:textId="1C99F8D8" w:rsidR="006E3A9D" w:rsidRPr="008477FF" w:rsidRDefault="006E3A9D" w:rsidP="006E3A9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iestādē lielākoties ir vienota izpratne par emocionālo drošību izglītības vidē, arī digitālajā. Izglītības iestāde pirmo gadu uzsāka izglītojošu darbu programmā sociāli emocionālajā mācīšanās,(SEM) to integrējot arī izglītības procesā. Ir iegūti dati, kas liecina par nepieciešamību veikt papildu darbu saistībā ar emocionālo drošību.  </w:t>
            </w:r>
          </w:p>
        </w:tc>
        <w:tc>
          <w:tcPr>
            <w:tcW w:w="4607" w:type="dxa"/>
          </w:tcPr>
          <w:p w14:paraId="38FA94AC" w14:textId="7AB2AF4F" w:rsidR="006E3A9D" w:rsidRPr="008477FF" w:rsidRDefault="006E3A9D" w:rsidP="002E460E">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Jāpilnveido </w:t>
            </w:r>
            <w:r w:rsidR="002E460E">
              <w:rPr>
                <w:rFonts w:ascii="Times New Roman" w:eastAsia="Times New Roman" w:hAnsi="Times New Roman" w:cs="Times New Roman"/>
                <w:lang w:val="lv-LV"/>
              </w:rPr>
              <w:t>sistēma</w:t>
            </w:r>
            <w:r>
              <w:rPr>
                <w:rFonts w:ascii="Times New Roman" w:eastAsia="Times New Roman" w:hAnsi="Times New Roman" w:cs="Times New Roman"/>
                <w:lang w:val="lv-LV"/>
              </w:rPr>
              <w:t xml:space="preserve"> </w:t>
            </w:r>
            <w:r w:rsidRPr="008E0579">
              <w:rPr>
                <w:rFonts w:ascii="Times New Roman" w:eastAsia="Times New Roman" w:hAnsi="Times New Roman" w:cs="Times New Roman"/>
                <w:lang w:val="lv-LV"/>
              </w:rPr>
              <w:t>emocionālās</w:t>
            </w:r>
            <w:r w:rsidR="002E460E">
              <w:rPr>
                <w:rFonts w:ascii="Times New Roman" w:eastAsia="Times New Roman" w:hAnsi="Times New Roman" w:cs="Times New Roman"/>
                <w:lang w:val="lv-LV"/>
              </w:rPr>
              <w:t xml:space="preserve"> </w:t>
            </w:r>
            <w:r w:rsidRPr="0024249D">
              <w:rPr>
                <w:rFonts w:ascii="Times New Roman" w:eastAsia="Times New Roman" w:hAnsi="Times New Roman" w:cs="Times New Roman"/>
                <w:lang w:val="lv-LV"/>
              </w:rPr>
              <w:t>drošības pārkāpu</w:t>
            </w:r>
            <w:r>
              <w:rPr>
                <w:rFonts w:ascii="Times New Roman" w:eastAsia="Times New Roman" w:hAnsi="Times New Roman" w:cs="Times New Roman"/>
                <w:lang w:val="lv-LV"/>
              </w:rPr>
              <w:t>mu novēršanā.</w:t>
            </w:r>
          </w:p>
        </w:tc>
      </w:tr>
      <w:tr w:rsidR="006E3A9D" w:rsidRPr="008477FF" w14:paraId="1BFB3B39" w14:textId="77777777" w:rsidTr="0095033A">
        <w:tc>
          <w:tcPr>
            <w:tcW w:w="4607" w:type="dxa"/>
          </w:tcPr>
          <w:p w14:paraId="5A5127EE" w14:textId="7852EF41" w:rsidR="006E3A9D" w:rsidRPr="008477FF" w:rsidRDefault="006E3A9D" w:rsidP="006E3A9D">
            <w:pPr>
              <w:pStyle w:val="Sarakstarindkopa"/>
              <w:ind w:left="0"/>
              <w:jc w:val="both"/>
              <w:rPr>
                <w:rFonts w:ascii="Times New Roman" w:eastAsia="Times New Roman" w:hAnsi="Times New Roman" w:cs="Times New Roman"/>
                <w:color w:val="414142"/>
                <w:sz w:val="24"/>
                <w:szCs w:val="24"/>
                <w:lang w:val="lv-LV"/>
              </w:rPr>
            </w:pPr>
            <w:r w:rsidRPr="004C2024">
              <w:rPr>
                <w:rFonts w:ascii="Times New Roman" w:eastAsia="Times New Roman" w:hAnsi="Times New Roman" w:cs="Times New Roman"/>
                <w:lang w:val="lv-LV"/>
              </w:rPr>
              <w:t xml:space="preserve">Izglītības iestādē </w:t>
            </w:r>
            <w:r>
              <w:rPr>
                <w:rFonts w:ascii="Times New Roman" w:eastAsia="Times New Roman" w:hAnsi="Times New Roman" w:cs="Times New Roman"/>
                <w:lang w:val="lv-LV"/>
              </w:rPr>
              <w:t>valda vienota</w:t>
            </w:r>
            <w:r w:rsidRPr="004C2024">
              <w:rPr>
                <w:rFonts w:ascii="Times New Roman" w:eastAsia="Times New Roman" w:hAnsi="Times New Roman" w:cs="Times New Roman"/>
                <w:lang w:val="lv-LV"/>
              </w:rPr>
              <w:t xml:space="preserve"> </w:t>
            </w:r>
            <w:r>
              <w:rPr>
                <w:rFonts w:ascii="Times New Roman" w:eastAsia="Times New Roman" w:hAnsi="Times New Roman" w:cs="Times New Roman"/>
                <w:lang w:val="lv-LV"/>
              </w:rPr>
              <w:t>kopienas</w:t>
            </w:r>
            <w:r w:rsidRPr="004C2024">
              <w:rPr>
                <w:rFonts w:ascii="Times New Roman" w:eastAsia="Times New Roman" w:hAnsi="Times New Roman" w:cs="Times New Roman"/>
                <w:lang w:val="lv-LV"/>
              </w:rPr>
              <w:t xml:space="preserve"> piederības</w:t>
            </w:r>
            <w:r>
              <w:rPr>
                <w:rFonts w:ascii="Times New Roman" w:eastAsia="Times New Roman" w:hAnsi="Times New Roman" w:cs="Times New Roman"/>
                <w:lang w:val="lv-LV"/>
              </w:rPr>
              <w:t xml:space="preserve"> </w:t>
            </w:r>
            <w:r w:rsidRPr="004C2024">
              <w:rPr>
                <w:rFonts w:ascii="Times New Roman" w:eastAsia="Times New Roman" w:hAnsi="Times New Roman" w:cs="Times New Roman"/>
                <w:lang w:val="lv-LV"/>
              </w:rPr>
              <w:t xml:space="preserve">sajūta, </w:t>
            </w:r>
            <w:r>
              <w:rPr>
                <w:rFonts w:ascii="Times New Roman" w:eastAsia="Times New Roman" w:hAnsi="Times New Roman" w:cs="Times New Roman"/>
                <w:lang w:val="lv-LV"/>
              </w:rPr>
              <w:t>vienotas vērtības. Izglītības iestāde rūpējas, lai neviens izglītojamais netiek diskriminēts, apcelts. Piederības sajūtu klašu un iestādes līmenī veicina visa personāla izpratne, vienota attieksme, dažādi pasākumi.</w:t>
            </w:r>
          </w:p>
        </w:tc>
        <w:tc>
          <w:tcPr>
            <w:tcW w:w="4607" w:type="dxa"/>
          </w:tcPr>
          <w:p w14:paraId="7675B059" w14:textId="77777777" w:rsidR="006E3A9D" w:rsidRPr="008477FF" w:rsidRDefault="006E3A9D" w:rsidP="006E3A9D">
            <w:pPr>
              <w:pStyle w:val="Sarakstarindkopa"/>
              <w:ind w:left="0"/>
              <w:jc w:val="both"/>
              <w:rPr>
                <w:rFonts w:ascii="Times New Roman" w:eastAsia="Times New Roman" w:hAnsi="Times New Roman" w:cs="Times New Roman"/>
                <w:color w:val="414142"/>
                <w:sz w:val="24"/>
                <w:szCs w:val="24"/>
                <w:lang w:val="lv-LV"/>
              </w:rPr>
            </w:pPr>
          </w:p>
        </w:tc>
      </w:tr>
    </w:tbl>
    <w:p w14:paraId="685D0B87" w14:textId="6C94D1E3" w:rsidR="00166882" w:rsidRDefault="00166882" w:rsidP="00166882">
      <w:pPr>
        <w:spacing w:after="0" w:line="240" w:lineRule="auto"/>
        <w:rPr>
          <w:rFonts w:ascii="Times New Roman" w:hAnsi="Times New Roman" w:cs="Times New Roman"/>
          <w:sz w:val="24"/>
          <w:szCs w:val="24"/>
          <w:lang w:val="lv-LV"/>
        </w:rPr>
      </w:pPr>
    </w:p>
    <w:p w14:paraId="02209415" w14:textId="7D7D1DAA"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36DD94F0" w14:textId="77777777" w:rsidR="0095033A" w:rsidRDefault="0095033A" w:rsidP="0095033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5033A" w14:paraId="6873B765" w14:textId="77777777" w:rsidTr="002C7D08">
        <w:tc>
          <w:tcPr>
            <w:tcW w:w="4607" w:type="dxa"/>
          </w:tcPr>
          <w:p w14:paraId="6DA79494" w14:textId="77777777" w:rsidR="0095033A" w:rsidRPr="0095033A" w:rsidRDefault="0095033A"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0FBD6FE" w14:textId="77777777" w:rsidR="0095033A" w:rsidRPr="0095033A" w:rsidRDefault="0095033A" w:rsidP="002C7D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44F41" w:rsidRPr="008477FF" w14:paraId="487D1588" w14:textId="77777777" w:rsidTr="002C7D08">
        <w:tc>
          <w:tcPr>
            <w:tcW w:w="4607" w:type="dxa"/>
          </w:tcPr>
          <w:p w14:paraId="3A4F97D3" w14:textId="41F249CB"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r w:rsidRPr="00DC4249">
              <w:rPr>
                <w:rFonts w:ascii="Times New Roman" w:eastAsia="Times New Roman" w:hAnsi="Times New Roman" w:cs="Times New Roman"/>
                <w:lang w:val="lv-LV"/>
              </w:rPr>
              <w:t xml:space="preserve">Izglītības iestādei ir atbilstošs materiāltehnisko resursu klāsts,  lai īstenotu izglītības programmu. </w:t>
            </w:r>
            <w:r>
              <w:rPr>
                <w:rFonts w:ascii="Times New Roman" w:eastAsia="Times New Roman" w:hAnsi="Times New Roman" w:cs="Times New Roman"/>
                <w:lang w:val="lv-LV"/>
              </w:rPr>
              <w:t>R</w:t>
            </w:r>
            <w:r w:rsidRPr="00DC4249">
              <w:rPr>
                <w:rFonts w:ascii="Times New Roman" w:eastAsia="Times New Roman" w:hAnsi="Times New Roman" w:cs="Times New Roman"/>
                <w:lang w:val="lv-LV"/>
              </w:rPr>
              <w:t>eizi gadā izglītības iestādes vadība izvērtē resursu nodrošinājumu</w:t>
            </w:r>
            <w:r>
              <w:rPr>
                <w:rFonts w:ascii="Times New Roman" w:eastAsia="Times New Roman" w:hAnsi="Times New Roman" w:cs="Times New Roman"/>
                <w:lang w:val="lv-LV"/>
              </w:rPr>
              <w:t xml:space="preserve">. </w:t>
            </w:r>
            <w:r w:rsidRPr="00DC4249">
              <w:rPr>
                <w:rFonts w:ascii="Times New Roman" w:eastAsia="Times New Roman" w:hAnsi="Times New Roman" w:cs="Times New Roman"/>
                <w:lang w:val="lv-LV"/>
              </w:rPr>
              <w:t>Pedagogi lielākoties (vairāk nekā 70%) ir apmierināti ar pieejamajiem un nodrošinātajiem resursiem. Pārsvarā visiem pedagogiem ir saprotama kārtība, kā pieteikt viņu darbam vajadzīgās iekārtas un resursus</w:t>
            </w:r>
            <w:r>
              <w:rPr>
                <w:rFonts w:ascii="Times New Roman" w:eastAsia="Times New Roman" w:hAnsi="Times New Roman" w:cs="Times New Roman"/>
                <w:lang w:val="lv-LV"/>
              </w:rPr>
              <w:t xml:space="preserve">.  </w:t>
            </w:r>
          </w:p>
        </w:tc>
        <w:tc>
          <w:tcPr>
            <w:tcW w:w="4607" w:type="dxa"/>
          </w:tcPr>
          <w:p w14:paraId="1A805657" w14:textId="020C0742"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Nepieciešams papildināt materiāltehnisko bāzi </w:t>
            </w:r>
            <w:r w:rsidRPr="00A3599A">
              <w:rPr>
                <w:rFonts w:ascii="Times New Roman" w:eastAsia="Times New Roman" w:hAnsi="Times New Roman" w:cs="Times New Roman"/>
                <w:lang w:val="lv-LV"/>
              </w:rPr>
              <w:t>STEM priekšmetos (fizika, ķīmija, bioloģija).</w:t>
            </w:r>
          </w:p>
        </w:tc>
      </w:tr>
      <w:tr w:rsidR="00C44F41" w:rsidRPr="008477FF" w14:paraId="5F502296" w14:textId="77777777" w:rsidTr="002C7D08">
        <w:tc>
          <w:tcPr>
            <w:tcW w:w="4607" w:type="dxa"/>
          </w:tcPr>
          <w:p w14:paraId="01AFD8A7" w14:textId="015C9933"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r w:rsidRPr="00F25AD0">
              <w:rPr>
                <w:rFonts w:ascii="Times New Roman" w:eastAsia="Times New Roman" w:hAnsi="Times New Roman" w:cs="Times New Roman"/>
                <w:lang w:val="lv-LV"/>
              </w:rPr>
              <w:t xml:space="preserve">Izglītības iestādē ir </w:t>
            </w:r>
            <w:r>
              <w:rPr>
                <w:rFonts w:ascii="Times New Roman" w:eastAsia="Times New Roman" w:hAnsi="Times New Roman" w:cs="Times New Roman"/>
                <w:lang w:val="lv-LV"/>
              </w:rPr>
              <w:t>atbilstoša</w:t>
            </w:r>
            <w:r w:rsidRPr="00F25AD0">
              <w:rPr>
                <w:rFonts w:ascii="Times New Roman" w:eastAsia="Times New Roman" w:hAnsi="Times New Roman" w:cs="Times New Roman"/>
                <w:lang w:val="lv-LV"/>
              </w:rPr>
              <w:t xml:space="preserve"> IKT infrastruktūra un nodrošinājums, pēc pieprasījuma tas ir pieejams lielākajai daļai pedagogu. Pēc iespējas digitālās tehnoloģijas tiek integrētas mācību procesā,</w:t>
            </w:r>
            <w:r>
              <w:rPr>
                <w:rFonts w:ascii="Times New Roman" w:eastAsia="Times New Roman" w:hAnsi="Times New Roman" w:cs="Times New Roman"/>
                <w:lang w:val="lv-LV"/>
              </w:rPr>
              <w:t xml:space="preserve"> kas lielākoties </w:t>
            </w:r>
            <w:r w:rsidRPr="00F25AD0">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ir </w:t>
            </w:r>
            <w:r w:rsidRPr="00F25AD0">
              <w:rPr>
                <w:rFonts w:ascii="Times New Roman" w:eastAsia="Times New Roman" w:hAnsi="Times New Roman" w:cs="Times New Roman"/>
                <w:lang w:val="lv-LV"/>
              </w:rPr>
              <w:t xml:space="preserve">atsevišķu pedagogu iniciatīva. Izglītības iestādē tās darbības efektivitātes procesu uzlabošanai tiek ieviestas </w:t>
            </w:r>
            <w:r w:rsidRPr="00F25AD0">
              <w:rPr>
                <w:rFonts w:ascii="Times New Roman" w:eastAsia="Times New Roman" w:hAnsi="Times New Roman" w:cs="Times New Roman"/>
                <w:lang w:val="lv-LV"/>
              </w:rPr>
              <w:lastRenderedPageBreak/>
              <w:t xml:space="preserve">digitālās sistēmas elektroniskai saziņai, dokumentu un materiālu glabāšanai, vecāku un sabiedrības informēšanai u.tml. Izglītības iestāde rūpējas par datu drošību un privātumu atbilstoši tiesību aktos noteiktajam. </w:t>
            </w:r>
          </w:p>
        </w:tc>
        <w:tc>
          <w:tcPr>
            <w:tcW w:w="4607" w:type="dxa"/>
          </w:tcPr>
          <w:p w14:paraId="521734C4" w14:textId="0C666E53"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lastRenderedPageBreak/>
              <w:t>Pilnveidot IKT rīku un digitālo resursu  pielietošanu jēgpilni -  izglītojamo zināšanu konstruēšanai.</w:t>
            </w:r>
          </w:p>
        </w:tc>
      </w:tr>
      <w:tr w:rsidR="00C44F41" w:rsidRPr="008477FF" w14:paraId="6FFF9040" w14:textId="77777777" w:rsidTr="002C7D08">
        <w:tc>
          <w:tcPr>
            <w:tcW w:w="4607" w:type="dxa"/>
          </w:tcPr>
          <w:p w14:paraId="204BCE1A" w14:textId="1C490518"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r w:rsidRPr="000F17F7">
              <w:rPr>
                <w:rFonts w:ascii="Times New Roman" w:eastAsia="Times New Roman" w:hAnsi="Times New Roman" w:cs="Times New Roman"/>
                <w:lang w:val="lv-LV"/>
              </w:rPr>
              <w:t xml:space="preserve">Izglītības iestādē tiek pārraudzīts </w:t>
            </w:r>
            <w:r>
              <w:rPr>
                <w:rFonts w:ascii="Times New Roman" w:eastAsia="Times New Roman" w:hAnsi="Times New Roman" w:cs="Times New Roman"/>
                <w:lang w:val="lv-LV"/>
              </w:rPr>
              <w:t>materiāltehnisko</w:t>
            </w:r>
            <w:r w:rsidRPr="000F17F7">
              <w:rPr>
                <w:rFonts w:ascii="Times New Roman" w:eastAsia="Times New Roman" w:hAnsi="Times New Roman" w:cs="Times New Roman"/>
                <w:lang w:val="lv-LV"/>
              </w:rPr>
              <w:t xml:space="preserve"> resursu izmantošanas biežums, pieejamība un efektivitāte</w:t>
            </w:r>
            <w:r>
              <w:rPr>
                <w:rFonts w:ascii="Times New Roman" w:eastAsia="Times New Roman" w:hAnsi="Times New Roman" w:cs="Times New Roman"/>
                <w:lang w:val="lv-LV"/>
              </w:rPr>
              <w:t>.</w:t>
            </w:r>
            <w:r w:rsidRPr="000F17F7">
              <w:rPr>
                <w:rFonts w:ascii="Times New Roman" w:eastAsia="Times New Roman" w:hAnsi="Times New Roman" w:cs="Times New Roman"/>
                <w:lang w:val="lv-LV"/>
              </w:rPr>
              <w:t xml:space="preserve"> Gan izglītības iestādes vadība, gan pedagogi, gan izglītojamie mācību stundu/nodarbību laikā un ārpus tām pastāvīgi un atbildīgi lieto izglītības iestādē pieejamos resursus un iekārtas</w:t>
            </w:r>
            <w:r>
              <w:rPr>
                <w:rFonts w:ascii="Times New Roman" w:eastAsia="Times New Roman" w:hAnsi="Times New Roman" w:cs="Times New Roman"/>
                <w:lang w:val="lv-LV"/>
              </w:rPr>
              <w:t>.</w:t>
            </w:r>
          </w:p>
        </w:tc>
        <w:tc>
          <w:tcPr>
            <w:tcW w:w="4607" w:type="dxa"/>
          </w:tcPr>
          <w:p w14:paraId="172E8DB8" w14:textId="77777777"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p>
        </w:tc>
      </w:tr>
      <w:tr w:rsidR="00C44F41" w:rsidRPr="008477FF" w14:paraId="53979607" w14:textId="77777777" w:rsidTr="002C7D08">
        <w:tc>
          <w:tcPr>
            <w:tcW w:w="4607" w:type="dxa"/>
          </w:tcPr>
          <w:p w14:paraId="3A4DE13C" w14:textId="32F90F37"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r w:rsidRPr="000F17F7">
              <w:rPr>
                <w:rFonts w:ascii="Times New Roman" w:eastAsia="Times New Roman" w:hAnsi="Times New Roman" w:cs="Times New Roman"/>
                <w:lang w:val="lv-LV"/>
              </w:rPr>
              <w:t>Izglītības iestādes telpu izmērs un funkcionalitāte atbilst normatīvajos aktos noteiktajam. Izglītības iestāde rūpējas par mācību procesu kavējošo faktoru novēršanu</w:t>
            </w:r>
            <w:r>
              <w:rPr>
                <w:rFonts w:ascii="Times New Roman" w:eastAsia="Times New Roman" w:hAnsi="Times New Roman" w:cs="Times New Roman"/>
                <w:lang w:val="lv-LV"/>
              </w:rPr>
              <w:t xml:space="preserve">, </w:t>
            </w:r>
            <w:r w:rsidRPr="000F17F7">
              <w:rPr>
                <w:rFonts w:ascii="Times New Roman" w:eastAsia="Times New Roman" w:hAnsi="Times New Roman" w:cs="Times New Roman"/>
                <w:lang w:val="lv-LV"/>
              </w:rPr>
              <w:t>tiek nodrošināta atbilstoša gaisa kvalitāte, apgaismojums, temperatūra</w:t>
            </w:r>
            <w:r>
              <w:rPr>
                <w:rFonts w:ascii="Times New Roman" w:eastAsia="Times New Roman" w:hAnsi="Times New Roman" w:cs="Times New Roman"/>
                <w:lang w:val="lv-LV"/>
              </w:rPr>
              <w:t>. M</w:t>
            </w:r>
            <w:r w:rsidRPr="000F17F7">
              <w:rPr>
                <w:rFonts w:ascii="Times New Roman" w:eastAsia="Times New Roman" w:hAnsi="Times New Roman" w:cs="Times New Roman"/>
                <w:lang w:val="lv-LV"/>
              </w:rPr>
              <w:t xml:space="preserve">ācību telpas personālam un izglītojamiem </w:t>
            </w:r>
            <w:r>
              <w:rPr>
                <w:rFonts w:ascii="Times New Roman" w:eastAsia="Times New Roman" w:hAnsi="Times New Roman" w:cs="Times New Roman"/>
                <w:lang w:val="lv-LV"/>
              </w:rPr>
              <w:t xml:space="preserve">vienmēr tiek uzturētas estētiski tīras un kārtīgas, kas </w:t>
            </w:r>
            <w:r w:rsidRPr="000F17F7">
              <w:rPr>
                <w:rFonts w:ascii="Times New Roman" w:eastAsia="Times New Roman" w:hAnsi="Times New Roman" w:cs="Times New Roman"/>
                <w:lang w:val="lv-LV"/>
              </w:rPr>
              <w:t>rada vēlmi</w:t>
            </w:r>
            <w:r w:rsidR="00B94FC9">
              <w:rPr>
                <w:rFonts w:ascii="Times New Roman" w:eastAsia="Times New Roman" w:hAnsi="Times New Roman" w:cs="Times New Roman"/>
                <w:lang w:val="lv-LV"/>
              </w:rPr>
              <w:t xml:space="preserve"> </w:t>
            </w:r>
            <w:r w:rsidRPr="000F17F7">
              <w:rPr>
                <w:rFonts w:ascii="Times New Roman" w:eastAsia="Times New Roman" w:hAnsi="Times New Roman" w:cs="Times New Roman"/>
                <w:lang w:val="lv-LV"/>
              </w:rPr>
              <w:t>uzturēties un mācīties tajā. Izglītības iestāde pakāpeniski atjauno telpas</w:t>
            </w:r>
            <w:r>
              <w:rPr>
                <w:rFonts w:ascii="Times New Roman" w:eastAsia="Times New Roman" w:hAnsi="Times New Roman" w:cs="Times New Roman"/>
                <w:lang w:val="lv-LV"/>
              </w:rPr>
              <w:t>,</w:t>
            </w:r>
            <w:r w:rsidRPr="000F17F7">
              <w:rPr>
                <w:rFonts w:ascii="Times New Roman" w:eastAsia="Times New Roman" w:hAnsi="Times New Roman" w:cs="Times New Roman"/>
                <w:lang w:val="lv-LV"/>
              </w:rPr>
              <w:t xml:space="preserve"> lai tās būtu funkcionālas un veicinātu mācīšanos. </w:t>
            </w:r>
          </w:p>
        </w:tc>
        <w:tc>
          <w:tcPr>
            <w:tcW w:w="4607" w:type="dxa"/>
          </w:tcPr>
          <w:p w14:paraId="58C6898C" w14:textId="77777777" w:rsidR="00C44F41" w:rsidRPr="008477FF" w:rsidRDefault="00C44F41" w:rsidP="00C44F41">
            <w:pPr>
              <w:pStyle w:val="Sarakstarindkopa"/>
              <w:ind w:left="0"/>
              <w:jc w:val="both"/>
              <w:rPr>
                <w:rFonts w:ascii="Times New Roman" w:eastAsia="Times New Roman" w:hAnsi="Times New Roman" w:cs="Times New Roman"/>
                <w:color w:val="414142"/>
                <w:sz w:val="24"/>
                <w:szCs w:val="24"/>
                <w:lang w:val="lv-LV"/>
              </w:rPr>
            </w:pPr>
          </w:p>
        </w:tc>
      </w:tr>
    </w:tbl>
    <w:p w14:paraId="2444E562" w14:textId="77777777" w:rsidR="0095033A" w:rsidRDefault="0095033A" w:rsidP="00166882">
      <w:pPr>
        <w:spacing w:after="0" w:line="240" w:lineRule="auto"/>
        <w:rPr>
          <w:rFonts w:ascii="Times New Roman" w:hAnsi="Times New Roman" w:cs="Times New Roman"/>
          <w:sz w:val="24"/>
          <w:szCs w:val="24"/>
          <w:lang w:val="lv-LV"/>
        </w:rPr>
      </w:pPr>
    </w:p>
    <w:p w14:paraId="3C4DF21A" w14:textId="6D4BB3FE"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624F5312" w14:textId="77777777" w:rsidR="00077DCB" w:rsidRDefault="00077DCB" w:rsidP="00077DCB">
      <w:pPr>
        <w:spacing w:after="0" w:line="240" w:lineRule="auto"/>
        <w:rPr>
          <w:rFonts w:ascii="Times New Roman" w:hAnsi="Times New Roman" w:cs="Times New Roman"/>
          <w:sz w:val="24"/>
          <w:szCs w:val="24"/>
          <w:lang w:val="lv-LV"/>
        </w:rPr>
      </w:pPr>
    </w:p>
    <w:p w14:paraId="5A7DD74A" w14:textId="556729D5" w:rsidR="00077DCB" w:rsidRDefault="00077DCB" w:rsidP="00077DCB">
      <w:pPr>
        <w:pStyle w:val="Sarakstarindkopa"/>
        <w:numPr>
          <w:ilvl w:val="1"/>
          <w:numId w:val="2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1A5C" w:rsidRPr="00077DCB">
        <w:rPr>
          <w:rFonts w:ascii="Times New Roman" w:hAnsi="Times New Roman" w:cs="Times New Roman"/>
          <w:sz w:val="24"/>
          <w:szCs w:val="24"/>
          <w:lang w:val="lv-LV"/>
        </w:rPr>
        <w:t>Projekta</w:t>
      </w:r>
      <w:r w:rsidR="00166882" w:rsidRPr="00077DCB">
        <w:rPr>
          <w:rFonts w:ascii="Times New Roman" w:hAnsi="Times New Roman" w:cs="Times New Roman"/>
          <w:sz w:val="24"/>
          <w:szCs w:val="24"/>
          <w:lang w:val="lv-LV"/>
        </w:rPr>
        <w:t xml:space="preserve"> īsa anotācija un rezultāti</w:t>
      </w:r>
      <w:r w:rsidR="00531A5C" w:rsidRPr="00077DCB">
        <w:rPr>
          <w:rFonts w:ascii="Times New Roman" w:hAnsi="Times New Roman" w:cs="Times New Roman"/>
          <w:sz w:val="24"/>
          <w:szCs w:val="24"/>
          <w:lang w:val="lv-LV"/>
        </w:rPr>
        <w:t>.</w:t>
      </w:r>
    </w:p>
    <w:p w14:paraId="7016FE47" w14:textId="77777777" w:rsidR="00BF712F" w:rsidRDefault="00BF712F" w:rsidP="00E262EB">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ESF projekta Nr.8.3.4.0/16/I/001 “Atbalsts priekšlaicīgas mācību pārtraukšanas samazināšanai” ietvaros īstenotais projekts </w:t>
      </w:r>
      <w:r w:rsidRPr="006D4045">
        <w:rPr>
          <w:rFonts w:ascii="Times New Roman" w:hAnsi="Times New Roman" w:cs="Times New Roman"/>
          <w:sz w:val="24"/>
          <w:szCs w:val="24"/>
          <w:lang w:val="lv-LV"/>
        </w:rPr>
        <w:t>“Izaicini sevi,</w:t>
      </w:r>
      <w:r>
        <w:rPr>
          <w:rFonts w:ascii="Times New Roman" w:hAnsi="Times New Roman" w:cs="Times New Roman"/>
          <w:sz w:val="24"/>
          <w:szCs w:val="24"/>
          <w:lang w:val="lv-LV"/>
        </w:rPr>
        <w:t xml:space="preserve"> piedalies un radi!”. Projektā tika iesaistīti priekšlaicīgās mācību pārtraukšanas riska grupas jaunieši,  ar mērķi veicināt dalībnieku mācību motivāciju un pašiniciatīvu, izzināt savas spējas, gūt jaunas zināšanas un prasmes, izzināt pieprasījumu darba tirgū, iepazīties ar vietējo uzņēmēju pieredzi un veiksmīgiem dzīves stāstiem. </w:t>
      </w:r>
    </w:p>
    <w:p w14:paraId="3D25DB29" w14:textId="77777777" w:rsidR="00BF712F" w:rsidRDefault="00BF712F" w:rsidP="00E262EB">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ESF projekta Nr.8.3.4.0/16/I/001 “Atbalsts priekšlaicīgas mācību pārtraukšanas samazināšanai” ietvaros 12 bērni saņēma palīdzību savu zināšanu un prasmju uzlabošanai mācību priekšmetos, 2 izglītojamie saņēma pedagoga atbalstu mācību darba organizēšanai, viens izglītojamais saņēma ekonomisko atbalstu – ēdināšanas apmaksu. </w:t>
      </w:r>
    </w:p>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F01D1B0" w14:textId="0D78DAED" w:rsidR="00166882" w:rsidRDefault="00586834" w:rsidP="00077DCB">
      <w:pPr>
        <w:pStyle w:val="Sarakstarindkopa"/>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77777777" w:rsidR="00531A5C" w:rsidRDefault="00531A5C" w:rsidP="00531A5C">
      <w:pPr>
        <w:pStyle w:val="Sarakstarindkopa"/>
        <w:spacing w:after="0" w:line="240" w:lineRule="auto"/>
        <w:rPr>
          <w:rFonts w:ascii="Times New Roman" w:hAnsi="Times New Roman" w:cs="Times New Roman"/>
          <w:b/>
          <w:bCs/>
          <w:sz w:val="24"/>
          <w:szCs w:val="24"/>
          <w:lang w:val="lv-LV"/>
        </w:rPr>
      </w:pPr>
    </w:p>
    <w:p w14:paraId="5582ACD8" w14:textId="4DBDC193" w:rsidR="00531A5C" w:rsidRPr="00FD0981" w:rsidRDefault="00077DCB" w:rsidP="00FD0981">
      <w:pPr>
        <w:pStyle w:val="Sarakstarindkopa"/>
        <w:numPr>
          <w:ilvl w:val="1"/>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D0981">
        <w:rPr>
          <w:rFonts w:ascii="Times New Roman" w:hAnsi="Times New Roman" w:cs="Times New Roman"/>
          <w:sz w:val="24"/>
          <w:szCs w:val="24"/>
          <w:lang w:val="lv-LV"/>
        </w:rPr>
        <w:t>Nav</w:t>
      </w:r>
      <w:r w:rsidR="00531A5C" w:rsidRPr="00077DCB">
        <w:rPr>
          <w:rFonts w:ascii="Times New Roman" w:hAnsi="Times New Roman" w:cs="Times New Roman"/>
          <w:sz w:val="24"/>
          <w:szCs w:val="24"/>
          <w:lang w:val="lv-LV"/>
        </w:rPr>
        <w:t>.</w:t>
      </w: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3D618FD" w14:textId="2E512B8B" w:rsidR="00166882" w:rsidRDefault="00166882" w:rsidP="00077DCB">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lang w:val="lv-LV"/>
        </w:rPr>
      </w:pPr>
    </w:p>
    <w:p w14:paraId="6B5C395D" w14:textId="71674F10" w:rsidR="00166882" w:rsidRDefault="00AB730A" w:rsidP="00077DCB">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r w:rsidR="00531A5C">
        <w:rPr>
          <w:rFonts w:ascii="Times New Roman" w:hAnsi="Times New Roman" w:cs="Times New Roman"/>
          <w:sz w:val="24"/>
          <w:szCs w:val="24"/>
          <w:lang w:val="lv-LV"/>
        </w:rPr>
        <w:t>.</w:t>
      </w:r>
    </w:p>
    <w:p w14:paraId="23511EDC" w14:textId="5E9E4A5E" w:rsidR="007D073A" w:rsidRPr="002F7971" w:rsidRDefault="002F7971" w:rsidP="002F7971">
      <w:pPr>
        <w:spacing w:after="0" w:line="240" w:lineRule="auto"/>
        <w:ind w:left="66" w:firstLine="294"/>
        <w:rPr>
          <w:rFonts w:ascii="Times New Roman" w:hAnsi="Times New Roman" w:cs="Times New Roman"/>
          <w:sz w:val="24"/>
          <w:szCs w:val="24"/>
          <w:lang w:val="lv-LV"/>
        </w:rPr>
      </w:pPr>
      <w:r w:rsidRPr="002F7971">
        <w:rPr>
          <w:rFonts w:ascii="Times New Roman" w:hAnsi="Times New Roman" w:cs="Times New Roman"/>
          <w:sz w:val="24"/>
          <w:szCs w:val="24"/>
          <w:lang w:val="lv-LV"/>
        </w:rPr>
        <w:t xml:space="preserve">2020./2021.m.g. </w:t>
      </w:r>
      <w:r w:rsidR="0027075B">
        <w:rPr>
          <w:rFonts w:ascii="Times New Roman" w:hAnsi="Times New Roman" w:cs="Times New Roman"/>
          <w:sz w:val="24"/>
          <w:szCs w:val="24"/>
          <w:lang w:val="lv-LV"/>
        </w:rPr>
        <w:t>–</w:t>
      </w:r>
      <w:r w:rsidRPr="002F7971">
        <w:rPr>
          <w:rFonts w:ascii="Times New Roman" w:hAnsi="Times New Roman" w:cs="Times New Roman"/>
          <w:sz w:val="24"/>
          <w:szCs w:val="24"/>
          <w:lang w:val="lv-LV"/>
        </w:rPr>
        <w:t xml:space="preserve"> </w:t>
      </w:r>
      <w:r w:rsidR="0027075B">
        <w:rPr>
          <w:rFonts w:ascii="Times New Roman" w:hAnsi="Times New Roman" w:cs="Times New Roman"/>
          <w:sz w:val="24"/>
          <w:szCs w:val="24"/>
          <w:lang w:val="lv-LV"/>
        </w:rPr>
        <w:t>Izglītojamo prasmes saprast sevi un citus attīstīšana, pozitīvu savstarpējo attiecību veidošana (skolēns – skolēns, skolēns – pieaugušais).</w:t>
      </w:r>
    </w:p>
    <w:p w14:paraId="6F8B6C82" w14:textId="7FD51281" w:rsidR="002F7971" w:rsidRDefault="002F7971" w:rsidP="007D073A">
      <w:pPr>
        <w:pStyle w:val="Sarakstarindkopa"/>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2021./2022.m.g. – Sociāli emocionālās mācīšanās (SEM) prasmju praktizēšana un to novērtēšana, uz attiecībām orientētas vides veidošana klasē, skolā.</w:t>
      </w:r>
    </w:p>
    <w:p w14:paraId="444B7936" w14:textId="15581788" w:rsidR="007D073A" w:rsidRPr="007D073A" w:rsidRDefault="007D073A" w:rsidP="007D073A">
      <w:pPr>
        <w:pStyle w:val="Sarakstarindkopa"/>
        <w:spacing w:after="0" w:line="240" w:lineRule="auto"/>
        <w:ind w:left="360"/>
        <w:rPr>
          <w:rFonts w:ascii="Times New Roman" w:hAnsi="Times New Roman" w:cs="Times New Roman"/>
          <w:sz w:val="24"/>
          <w:szCs w:val="24"/>
          <w:lang w:val="lv-LV"/>
        </w:rPr>
      </w:pPr>
      <w:r w:rsidRPr="007D073A">
        <w:rPr>
          <w:rFonts w:ascii="Times New Roman" w:hAnsi="Times New Roman" w:cs="Times New Roman"/>
          <w:sz w:val="24"/>
          <w:szCs w:val="24"/>
          <w:lang w:val="lv-LV"/>
        </w:rPr>
        <w:lastRenderedPageBreak/>
        <w:t>2022./2023.m.g. – Izglītojamo individuālo kompetenču pilnveidošana, spēju un prasmju attīstīšana.</w:t>
      </w:r>
    </w:p>
    <w:p w14:paraId="4AB63701" w14:textId="77777777" w:rsidR="007D073A" w:rsidRDefault="007D073A" w:rsidP="007D073A">
      <w:pPr>
        <w:pStyle w:val="Sarakstarindkopa"/>
        <w:spacing w:after="0" w:line="240" w:lineRule="auto"/>
        <w:ind w:left="360"/>
        <w:rPr>
          <w:rFonts w:ascii="Times New Roman" w:hAnsi="Times New Roman" w:cs="Times New Roman"/>
          <w:sz w:val="24"/>
          <w:szCs w:val="24"/>
          <w:lang w:val="lv-LV"/>
        </w:rPr>
      </w:pPr>
    </w:p>
    <w:p w14:paraId="20D09EBF" w14:textId="52905ABB" w:rsidR="00AB730A" w:rsidRDefault="00AB730A" w:rsidP="00077DCB">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531A5C">
        <w:rPr>
          <w:rFonts w:ascii="Times New Roman" w:hAnsi="Times New Roman" w:cs="Times New Roman"/>
          <w:sz w:val="24"/>
          <w:szCs w:val="24"/>
          <w:lang w:val="lv-LV"/>
        </w:rPr>
        <w:t>.</w:t>
      </w:r>
    </w:p>
    <w:p w14:paraId="56198E68" w14:textId="77777777" w:rsidR="007E18C8" w:rsidRDefault="007E18C8" w:rsidP="007D073A">
      <w:pPr>
        <w:pStyle w:val="Sarakstarindkopa"/>
        <w:spacing w:after="0" w:line="240" w:lineRule="auto"/>
        <w:ind w:left="360"/>
        <w:jc w:val="both"/>
        <w:rPr>
          <w:rFonts w:ascii="Times New Roman" w:hAnsi="Times New Roman" w:cs="Times New Roman"/>
          <w:sz w:val="24"/>
          <w:szCs w:val="24"/>
          <w:lang w:val="lv-LV"/>
        </w:rPr>
      </w:pPr>
    </w:p>
    <w:p w14:paraId="15238F72" w14:textId="45AE2FFC" w:rsidR="007D073A" w:rsidRPr="007D073A" w:rsidRDefault="007D073A" w:rsidP="007D073A">
      <w:pPr>
        <w:pStyle w:val="Sarakstarindkopa"/>
        <w:spacing w:after="0" w:line="240" w:lineRule="auto"/>
        <w:ind w:left="360"/>
        <w:jc w:val="both"/>
        <w:rPr>
          <w:rFonts w:ascii="Times New Roman" w:hAnsi="Times New Roman" w:cs="Times New Roman"/>
          <w:sz w:val="24"/>
          <w:szCs w:val="24"/>
          <w:lang w:val="lv-LV"/>
        </w:rPr>
      </w:pPr>
      <w:r w:rsidRPr="007D073A">
        <w:rPr>
          <w:rFonts w:ascii="Times New Roman" w:hAnsi="Times New Roman" w:cs="Times New Roman"/>
          <w:sz w:val="24"/>
          <w:szCs w:val="24"/>
          <w:lang w:val="lv-LV"/>
        </w:rPr>
        <w:t>2021./2022.m.g.</w:t>
      </w:r>
      <w:r w:rsidR="00892634">
        <w:rPr>
          <w:rFonts w:ascii="Times New Roman" w:hAnsi="Times New Roman" w:cs="Times New Roman"/>
          <w:sz w:val="24"/>
          <w:szCs w:val="24"/>
          <w:lang w:val="lv-LV"/>
        </w:rPr>
        <w:t xml:space="preserve"> uzdevums “S</w:t>
      </w:r>
      <w:r w:rsidRPr="007D073A">
        <w:rPr>
          <w:rFonts w:ascii="Times New Roman" w:hAnsi="Times New Roman" w:cs="Times New Roman"/>
          <w:sz w:val="24"/>
          <w:szCs w:val="24"/>
          <w:lang w:val="lv-LV"/>
        </w:rPr>
        <w:t>ociāli emocionālās mācīšanās (SEM) prasmju praktizēšana un to novērtēšana</w:t>
      </w:r>
      <w:r w:rsidR="00892634">
        <w:rPr>
          <w:rFonts w:ascii="Times New Roman" w:hAnsi="Times New Roman" w:cs="Times New Roman"/>
          <w:sz w:val="24"/>
          <w:szCs w:val="24"/>
          <w:lang w:val="lv-LV"/>
        </w:rPr>
        <w:t>” ir daļēji sasniegts. Tika akcentēta darbība</w:t>
      </w:r>
      <w:r w:rsidRPr="007D073A">
        <w:rPr>
          <w:rFonts w:ascii="Times New Roman" w:hAnsi="Times New Roman" w:cs="Times New Roman"/>
          <w:sz w:val="24"/>
          <w:szCs w:val="24"/>
          <w:lang w:val="lv-LV"/>
        </w:rPr>
        <w:t xml:space="preserve"> uz attiecībām orientētas vides veidošan</w:t>
      </w:r>
      <w:r w:rsidR="00892634">
        <w:rPr>
          <w:rFonts w:ascii="Times New Roman" w:hAnsi="Times New Roman" w:cs="Times New Roman"/>
          <w:sz w:val="24"/>
          <w:szCs w:val="24"/>
          <w:lang w:val="lv-LV"/>
        </w:rPr>
        <w:t>u</w:t>
      </w:r>
      <w:r w:rsidRPr="007D073A">
        <w:rPr>
          <w:rFonts w:ascii="Times New Roman" w:hAnsi="Times New Roman" w:cs="Times New Roman"/>
          <w:sz w:val="24"/>
          <w:szCs w:val="24"/>
          <w:lang w:val="lv-LV"/>
        </w:rPr>
        <w:t xml:space="preserve"> klasē, skolā</w:t>
      </w:r>
      <w:r w:rsidR="00892634">
        <w:rPr>
          <w:rFonts w:ascii="Times New Roman" w:hAnsi="Times New Roman" w:cs="Times New Roman"/>
          <w:sz w:val="24"/>
          <w:szCs w:val="24"/>
          <w:lang w:val="lv-LV"/>
        </w:rPr>
        <w:t>. Jāpilnveido darbs pie atbilstošu mācību metožu izvēles SEM prasmju praktizēšanā, lai ikviens pedagogs spētu palīdzēt izglītojamajam attīstīt prasmi saprast sevi, veidot attiecības.</w:t>
      </w:r>
    </w:p>
    <w:p w14:paraId="7F9F8C31" w14:textId="77777777" w:rsidR="00AB730A" w:rsidRPr="00446618" w:rsidRDefault="00AB730A" w:rsidP="00AB730A">
      <w:pPr>
        <w:pStyle w:val="Sarakstarindkopa"/>
        <w:spacing w:after="0" w:line="240" w:lineRule="auto"/>
        <w:ind w:left="426"/>
        <w:rPr>
          <w:rFonts w:ascii="Times New Roman" w:hAnsi="Times New Roman" w:cs="Times New Roman"/>
          <w:sz w:val="24"/>
          <w:szCs w:val="24"/>
          <w:lang w:val="lv-LV"/>
        </w:rPr>
      </w:pPr>
    </w:p>
    <w:p w14:paraId="39D94755" w14:textId="28FFBC26" w:rsidR="00166882" w:rsidRDefault="00166882" w:rsidP="00077DCB">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Default="00FE09BB" w:rsidP="00FE09BB">
      <w:pPr>
        <w:pStyle w:val="Sarakstarindkopa"/>
        <w:spacing w:after="0" w:line="240" w:lineRule="auto"/>
        <w:rPr>
          <w:rFonts w:ascii="Times New Roman" w:hAnsi="Times New Roman" w:cs="Times New Roman"/>
          <w:b/>
          <w:bCs/>
          <w:sz w:val="24"/>
          <w:szCs w:val="24"/>
          <w:lang w:val="lv-LV"/>
        </w:rPr>
      </w:pPr>
    </w:p>
    <w:p w14:paraId="778989C2" w14:textId="42A1D040" w:rsidR="00166882" w:rsidRDefault="00410F11"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54BF0BBA" w14:textId="253A6F8F" w:rsidR="00FC6E85" w:rsidRDefault="00FC6E85" w:rsidP="00FC6E85">
      <w:pPr>
        <w:pStyle w:val="Sarakstarindkopa"/>
        <w:numPr>
          <w:ilvl w:val="2"/>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“Izaicini sevi, piedalies un radi!” īstenošana.</w:t>
      </w:r>
    </w:p>
    <w:p w14:paraId="4DD68B47" w14:textId="630EEC02" w:rsidR="00FC6E85" w:rsidRDefault="00FC6E85" w:rsidP="00FC6E85">
      <w:pPr>
        <w:pStyle w:val="Sarakstarindkopa"/>
        <w:numPr>
          <w:ilvl w:val="2"/>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Mazpulka</w:t>
      </w:r>
      <w:r w:rsidR="00DA3FD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divi 9.klases izglītojamie ieguva Goda nomināciju “Augsim Latvijai” un sudraba karotīti;</w:t>
      </w:r>
    </w:p>
    <w:p w14:paraId="55771F32" w14:textId="68B143E3" w:rsidR="00FC6E85" w:rsidRDefault="00DA3FDF" w:rsidP="00FC6E85">
      <w:pPr>
        <w:pStyle w:val="Sarakstarindkopa"/>
        <w:numPr>
          <w:ilvl w:val="2"/>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9.klases izglītojamā ieguva 2.vietu Latviešu valodas un literatūras olimpiādē.</w:t>
      </w:r>
    </w:p>
    <w:p w14:paraId="738639B9" w14:textId="1D9F4B66" w:rsidR="00DA3FDF" w:rsidRPr="00DA3FDF" w:rsidRDefault="00DA3FDF" w:rsidP="00DA3FDF">
      <w:pPr>
        <w:pStyle w:val="Sarakstarindkopa"/>
        <w:spacing w:after="0" w:line="240" w:lineRule="auto"/>
        <w:jc w:val="both"/>
        <w:rPr>
          <w:rFonts w:ascii="Times New Roman" w:hAnsi="Times New Roman" w:cs="Times New Roman"/>
          <w:sz w:val="24"/>
          <w:szCs w:val="24"/>
          <w:lang w:val="lv-LV"/>
        </w:rPr>
      </w:pPr>
    </w:p>
    <w:p w14:paraId="7EF1E38C" w14:textId="77777777" w:rsidR="00077DCB" w:rsidRDefault="00410F11"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sidR="00507250">
        <w:rPr>
          <w:rFonts w:ascii="Times New Roman" w:hAnsi="Times New Roman" w:cs="Times New Roman"/>
          <w:sz w:val="24"/>
          <w:szCs w:val="24"/>
          <w:lang w:val="lv-LV"/>
        </w:rPr>
        <w:t>:</w:t>
      </w:r>
    </w:p>
    <w:p w14:paraId="310B1EF7" w14:textId="03CC6195" w:rsidR="00077DCB" w:rsidRDefault="00410F11" w:rsidP="00FC6E85">
      <w:pPr>
        <w:pStyle w:val="Sarakstarindkopa"/>
        <w:numPr>
          <w:ilvl w:val="2"/>
          <w:numId w:val="24"/>
        </w:numPr>
        <w:spacing w:after="0" w:line="240" w:lineRule="auto"/>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t xml:space="preserve">pēc </w:t>
      </w:r>
      <w:r w:rsidR="00FC6EAB" w:rsidRPr="00077DCB">
        <w:rPr>
          <w:rFonts w:ascii="Times New Roman" w:hAnsi="Times New Roman" w:cs="Times New Roman"/>
          <w:sz w:val="24"/>
          <w:szCs w:val="24"/>
          <w:lang w:val="lv-LV"/>
        </w:rPr>
        <w:t xml:space="preserve">izglītojamo snieguma </w:t>
      </w:r>
      <w:proofErr w:type="spellStart"/>
      <w:r w:rsidR="00FC6EAB" w:rsidRPr="00077DCB">
        <w:rPr>
          <w:rFonts w:ascii="Times New Roman" w:hAnsi="Times New Roman" w:cs="Times New Roman"/>
          <w:sz w:val="24"/>
          <w:szCs w:val="24"/>
          <w:lang w:val="lv-LV"/>
        </w:rPr>
        <w:t>izvērtējuma</w:t>
      </w:r>
      <w:proofErr w:type="spellEnd"/>
      <w:r w:rsidR="00FC6EAB" w:rsidRPr="00077DCB">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valsts pārbaudes darb</w:t>
      </w:r>
      <w:r w:rsidR="00FC6EAB" w:rsidRPr="00077DCB">
        <w:rPr>
          <w:rFonts w:ascii="Times New Roman" w:hAnsi="Times New Roman" w:cs="Times New Roman"/>
          <w:sz w:val="24"/>
          <w:szCs w:val="24"/>
          <w:lang w:val="lv-LV"/>
        </w:rPr>
        <w:t>os</w:t>
      </w:r>
      <w:r w:rsidRPr="00077DCB">
        <w:rPr>
          <w:rFonts w:ascii="Times New Roman" w:hAnsi="Times New Roman" w:cs="Times New Roman"/>
          <w:sz w:val="24"/>
          <w:szCs w:val="24"/>
          <w:lang w:val="lv-LV"/>
        </w:rPr>
        <w:t xml:space="preserve"> par 202</w:t>
      </w:r>
      <w:r w:rsidR="00FC6EAB" w:rsidRPr="00077DCB">
        <w:rPr>
          <w:rFonts w:ascii="Times New Roman" w:hAnsi="Times New Roman" w:cs="Times New Roman"/>
          <w:sz w:val="24"/>
          <w:szCs w:val="24"/>
          <w:lang w:val="lv-LV"/>
        </w:rPr>
        <w:t>1</w:t>
      </w:r>
      <w:r w:rsidRPr="00077DCB">
        <w:rPr>
          <w:rFonts w:ascii="Times New Roman" w:hAnsi="Times New Roman" w:cs="Times New Roman"/>
          <w:sz w:val="24"/>
          <w:szCs w:val="24"/>
          <w:lang w:val="lv-LV"/>
        </w:rPr>
        <w:t>./202</w:t>
      </w:r>
      <w:r w:rsidR="00FC6EAB" w:rsidRPr="00077DCB">
        <w:rPr>
          <w:rFonts w:ascii="Times New Roman" w:hAnsi="Times New Roman" w:cs="Times New Roman"/>
          <w:sz w:val="24"/>
          <w:szCs w:val="24"/>
          <w:lang w:val="lv-LV"/>
        </w:rPr>
        <w:t>2</w:t>
      </w:r>
      <w:r w:rsidRPr="00077DCB">
        <w:rPr>
          <w:rFonts w:ascii="Times New Roman" w:hAnsi="Times New Roman" w:cs="Times New Roman"/>
          <w:sz w:val="24"/>
          <w:szCs w:val="24"/>
          <w:lang w:val="lv-LV"/>
        </w:rPr>
        <w:t>.</w:t>
      </w:r>
      <w:r w:rsidR="00FE09BB" w:rsidRPr="00077DCB">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mācību gadu</w:t>
      </w:r>
      <w:r w:rsidR="00507250" w:rsidRPr="00077DCB">
        <w:rPr>
          <w:rFonts w:ascii="Times New Roman" w:hAnsi="Times New Roman" w:cs="Times New Roman"/>
          <w:sz w:val="24"/>
          <w:szCs w:val="24"/>
          <w:lang w:val="lv-LV"/>
        </w:rPr>
        <w:t>;</w:t>
      </w:r>
    </w:p>
    <w:p w14:paraId="52C83B50" w14:textId="2D67C740" w:rsidR="00FC6E85" w:rsidRDefault="00FC6E85" w:rsidP="00FC6E85">
      <w:pPr>
        <w:pStyle w:val="Sarakstarindkopa"/>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2021./2022. mācību gada 9.klases rezultāti (procentos) valsts pārbaudes darbos ir sekojoši:</w:t>
      </w:r>
    </w:p>
    <w:tbl>
      <w:tblPr>
        <w:tblStyle w:val="Reatabula1"/>
        <w:tblW w:w="0" w:type="auto"/>
        <w:tblInd w:w="565" w:type="dxa"/>
        <w:tblLook w:val="04A0" w:firstRow="1" w:lastRow="0" w:firstColumn="1" w:lastColumn="0" w:noHBand="0" w:noVBand="1"/>
      </w:tblPr>
      <w:tblGrid>
        <w:gridCol w:w="1840"/>
        <w:gridCol w:w="1559"/>
        <w:gridCol w:w="1560"/>
        <w:gridCol w:w="1320"/>
        <w:gridCol w:w="1786"/>
      </w:tblGrid>
      <w:tr w:rsidR="00FC6E85" w:rsidRPr="00FC6E85" w14:paraId="1CAF8D0E" w14:textId="77777777" w:rsidTr="00FC6E85">
        <w:tc>
          <w:tcPr>
            <w:tcW w:w="1840" w:type="dxa"/>
          </w:tcPr>
          <w:p w14:paraId="5F98AB76" w14:textId="77777777" w:rsidR="00FC6E85" w:rsidRPr="00FC6E85" w:rsidRDefault="00FC6E85" w:rsidP="00FC6E85">
            <w:pPr>
              <w:rPr>
                <w:rFonts w:eastAsia="Calibri"/>
                <w:b/>
                <w:lang w:val="lv-LV"/>
              </w:rPr>
            </w:pPr>
            <w:r w:rsidRPr="00FC6E85">
              <w:rPr>
                <w:rFonts w:eastAsia="Calibri"/>
                <w:b/>
                <w:lang w:val="lv-LV"/>
              </w:rPr>
              <w:t>Priekšmets</w:t>
            </w:r>
          </w:p>
        </w:tc>
        <w:tc>
          <w:tcPr>
            <w:tcW w:w="1559" w:type="dxa"/>
          </w:tcPr>
          <w:p w14:paraId="7EF6B56A" w14:textId="32195C9F" w:rsidR="00FC6E85" w:rsidRPr="00FC6E85" w:rsidRDefault="00FC6E85" w:rsidP="00FC6E85">
            <w:pPr>
              <w:rPr>
                <w:rFonts w:eastAsia="Calibri"/>
                <w:b/>
                <w:lang w:val="lv-LV"/>
              </w:rPr>
            </w:pPr>
            <w:r>
              <w:rPr>
                <w:rFonts w:eastAsia="Calibri"/>
                <w:b/>
                <w:sz w:val="20"/>
                <w:szCs w:val="20"/>
                <w:lang w:val="lv-LV"/>
              </w:rPr>
              <w:t>Skolā</w:t>
            </w:r>
          </w:p>
        </w:tc>
        <w:tc>
          <w:tcPr>
            <w:tcW w:w="1560" w:type="dxa"/>
          </w:tcPr>
          <w:p w14:paraId="65635D08" w14:textId="1775E55D" w:rsidR="00FC6E85" w:rsidRPr="00FC6E85" w:rsidRDefault="00FC6E85" w:rsidP="00FC6E85">
            <w:pPr>
              <w:rPr>
                <w:rFonts w:eastAsia="Calibri"/>
                <w:b/>
                <w:sz w:val="20"/>
                <w:szCs w:val="20"/>
                <w:lang w:val="lv-LV"/>
              </w:rPr>
            </w:pPr>
            <w:r>
              <w:rPr>
                <w:rFonts w:eastAsia="Calibri"/>
                <w:b/>
                <w:sz w:val="20"/>
                <w:szCs w:val="20"/>
                <w:lang w:val="lv-LV"/>
              </w:rPr>
              <w:t>Novadā</w:t>
            </w:r>
          </w:p>
        </w:tc>
        <w:tc>
          <w:tcPr>
            <w:tcW w:w="1320" w:type="dxa"/>
          </w:tcPr>
          <w:p w14:paraId="4ABEBFA3" w14:textId="0D07AB09" w:rsidR="00FC6E85" w:rsidRPr="00FC6E85" w:rsidRDefault="00FC6E85" w:rsidP="00FC6E85">
            <w:pPr>
              <w:rPr>
                <w:rFonts w:eastAsia="Calibri"/>
                <w:b/>
                <w:sz w:val="20"/>
                <w:szCs w:val="20"/>
                <w:lang w:val="lv-LV"/>
              </w:rPr>
            </w:pPr>
            <w:r>
              <w:rPr>
                <w:rFonts w:eastAsia="Calibri"/>
                <w:b/>
                <w:sz w:val="20"/>
                <w:szCs w:val="20"/>
                <w:lang w:val="lv-LV"/>
              </w:rPr>
              <w:t>Valstī</w:t>
            </w:r>
          </w:p>
        </w:tc>
        <w:tc>
          <w:tcPr>
            <w:tcW w:w="1786" w:type="dxa"/>
          </w:tcPr>
          <w:p w14:paraId="3B19547D" w14:textId="77777777" w:rsidR="00FC6E85" w:rsidRDefault="00FC6E85" w:rsidP="00FC6E85">
            <w:pPr>
              <w:rPr>
                <w:rFonts w:eastAsia="Calibri"/>
                <w:b/>
                <w:sz w:val="20"/>
                <w:szCs w:val="20"/>
                <w:lang w:val="lv-LV"/>
              </w:rPr>
            </w:pPr>
            <w:r w:rsidRPr="00FC6E85">
              <w:rPr>
                <w:rFonts w:eastAsia="Calibri"/>
                <w:b/>
                <w:sz w:val="20"/>
                <w:szCs w:val="20"/>
                <w:lang w:val="lv-LV"/>
              </w:rPr>
              <w:t>Gada vērtējums</w:t>
            </w:r>
          </w:p>
          <w:p w14:paraId="599AA4C2" w14:textId="741282C5" w:rsidR="000E7559" w:rsidRPr="00FC6E85" w:rsidRDefault="000E7559" w:rsidP="00FC6E85">
            <w:pPr>
              <w:rPr>
                <w:rFonts w:eastAsia="Calibri"/>
                <w:b/>
                <w:lang w:val="lv-LV"/>
              </w:rPr>
            </w:pPr>
            <w:r>
              <w:rPr>
                <w:rFonts w:eastAsia="Calibri"/>
                <w:b/>
                <w:sz w:val="20"/>
                <w:szCs w:val="20"/>
                <w:lang w:val="lv-LV"/>
              </w:rPr>
              <w:t>(ballēs)</w:t>
            </w:r>
          </w:p>
        </w:tc>
      </w:tr>
      <w:tr w:rsidR="00FC6E85" w:rsidRPr="00FC6E85" w14:paraId="59ABACB4" w14:textId="77777777" w:rsidTr="00FC6E85">
        <w:tc>
          <w:tcPr>
            <w:tcW w:w="1840" w:type="dxa"/>
          </w:tcPr>
          <w:p w14:paraId="15C31F1D" w14:textId="52D251BE" w:rsidR="00FC6E85" w:rsidRPr="00FC6E85" w:rsidRDefault="000E7559" w:rsidP="00FC6E85">
            <w:pPr>
              <w:rPr>
                <w:rFonts w:eastAsia="Calibri"/>
                <w:lang w:val="lv-LV"/>
              </w:rPr>
            </w:pPr>
            <w:r>
              <w:rPr>
                <w:rFonts w:eastAsia="Calibri"/>
                <w:lang w:val="lv-LV"/>
              </w:rPr>
              <w:t>L</w:t>
            </w:r>
            <w:r w:rsidR="00FC6E85">
              <w:rPr>
                <w:rFonts w:eastAsia="Calibri"/>
                <w:lang w:val="lv-LV"/>
              </w:rPr>
              <w:t>atviešu valoda</w:t>
            </w:r>
          </w:p>
        </w:tc>
        <w:tc>
          <w:tcPr>
            <w:tcW w:w="1559" w:type="dxa"/>
          </w:tcPr>
          <w:p w14:paraId="798D6AE2" w14:textId="77777777" w:rsidR="00FC6E85" w:rsidRPr="00FC6E85" w:rsidRDefault="00FC6E85" w:rsidP="00FC6E85">
            <w:pPr>
              <w:rPr>
                <w:rFonts w:eastAsia="Calibri"/>
                <w:lang w:val="lv-LV"/>
              </w:rPr>
            </w:pPr>
            <w:r w:rsidRPr="00FC6E85">
              <w:rPr>
                <w:rFonts w:eastAsia="Calibri"/>
                <w:lang w:val="lv-LV"/>
              </w:rPr>
              <w:t>74,36</w:t>
            </w:r>
          </w:p>
        </w:tc>
        <w:tc>
          <w:tcPr>
            <w:tcW w:w="1560" w:type="dxa"/>
          </w:tcPr>
          <w:p w14:paraId="615973CB" w14:textId="16029E1A" w:rsidR="00FC6E85" w:rsidRPr="00FC6E85" w:rsidRDefault="009E608F" w:rsidP="00FC6E85">
            <w:pPr>
              <w:rPr>
                <w:rFonts w:eastAsia="Calibri"/>
                <w:lang w:val="lv-LV"/>
              </w:rPr>
            </w:pPr>
            <w:r>
              <w:rPr>
                <w:rFonts w:eastAsia="Calibri"/>
                <w:lang w:val="lv-LV"/>
              </w:rPr>
              <w:t>66,26</w:t>
            </w:r>
          </w:p>
        </w:tc>
        <w:tc>
          <w:tcPr>
            <w:tcW w:w="1320" w:type="dxa"/>
          </w:tcPr>
          <w:p w14:paraId="021901B6" w14:textId="3A0E307A" w:rsidR="00FC6E85" w:rsidRPr="00FC6E85" w:rsidRDefault="009E608F" w:rsidP="00FC6E85">
            <w:pPr>
              <w:rPr>
                <w:rFonts w:eastAsia="Calibri"/>
                <w:lang w:val="lv-LV"/>
              </w:rPr>
            </w:pPr>
            <w:r>
              <w:rPr>
                <w:rFonts w:eastAsia="Calibri"/>
                <w:lang w:val="lv-LV"/>
              </w:rPr>
              <w:t>65,49</w:t>
            </w:r>
          </w:p>
        </w:tc>
        <w:tc>
          <w:tcPr>
            <w:tcW w:w="1786" w:type="dxa"/>
          </w:tcPr>
          <w:p w14:paraId="414A47A7" w14:textId="12CA9DEB" w:rsidR="00FC6E85" w:rsidRPr="00FC6E85" w:rsidRDefault="00FC6E85" w:rsidP="00FC6E85">
            <w:pPr>
              <w:rPr>
                <w:rFonts w:eastAsia="Calibri"/>
                <w:lang w:val="lv-LV"/>
              </w:rPr>
            </w:pPr>
            <w:r w:rsidRPr="00FC6E85">
              <w:rPr>
                <w:rFonts w:eastAsia="Calibri"/>
                <w:lang w:val="lv-LV"/>
              </w:rPr>
              <w:t>6,33</w:t>
            </w:r>
          </w:p>
        </w:tc>
      </w:tr>
      <w:tr w:rsidR="00FC6E85" w:rsidRPr="00FC6E85" w14:paraId="32CA17BC" w14:textId="77777777" w:rsidTr="00FC6E85">
        <w:tc>
          <w:tcPr>
            <w:tcW w:w="1840" w:type="dxa"/>
          </w:tcPr>
          <w:p w14:paraId="2A0D69D5" w14:textId="722BE3BB" w:rsidR="00FC6E85" w:rsidRPr="00FC6E85" w:rsidRDefault="000E7559" w:rsidP="00FC6E85">
            <w:pPr>
              <w:rPr>
                <w:rFonts w:eastAsia="Calibri"/>
                <w:lang w:val="lv-LV"/>
              </w:rPr>
            </w:pPr>
            <w:r>
              <w:rPr>
                <w:rFonts w:eastAsia="Calibri"/>
                <w:lang w:val="lv-LV"/>
              </w:rPr>
              <w:t>M</w:t>
            </w:r>
            <w:r w:rsidR="00FC6E85" w:rsidRPr="00FC6E85">
              <w:rPr>
                <w:rFonts w:eastAsia="Calibri"/>
                <w:lang w:val="lv-LV"/>
              </w:rPr>
              <w:t>atemātika</w:t>
            </w:r>
          </w:p>
        </w:tc>
        <w:tc>
          <w:tcPr>
            <w:tcW w:w="1559" w:type="dxa"/>
          </w:tcPr>
          <w:p w14:paraId="5FA1CE31" w14:textId="77777777" w:rsidR="00FC6E85" w:rsidRPr="00FC6E85" w:rsidRDefault="00FC6E85" w:rsidP="00FC6E85">
            <w:pPr>
              <w:rPr>
                <w:rFonts w:eastAsia="Calibri"/>
                <w:lang w:val="lv-LV"/>
              </w:rPr>
            </w:pPr>
            <w:r w:rsidRPr="00FC6E85">
              <w:rPr>
                <w:rFonts w:eastAsia="Calibri"/>
                <w:lang w:val="lv-LV"/>
              </w:rPr>
              <w:t>57,60</w:t>
            </w:r>
          </w:p>
        </w:tc>
        <w:tc>
          <w:tcPr>
            <w:tcW w:w="1560" w:type="dxa"/>
          </w:tcPr>
          <w:p w14:paraId="3120EFC7" w14:textId="5681D054" w:rsidR="00FC6E85" w:rsidRPr="00FC6E85" w:rsidRDefault="000E7559" w:rsidP="00FC6E85">
            <w:pPr>
              <w:rPr>
                <w:rFonts w:eastAsia="Calibri"/>
                <w:lang w:val="lv-LV"/>
              </w:rPr>
            </w:pPr>
            <w:r>
              <w:rPr>
                <w:rFonts w:eastAsia="Calibri"/>
                <w:lang w:val="lv-LV"/>
              </w:rPr>
              <w:t>50,15</w:t>
            </w:r>
          </w:p>
        </w:tc>
        <w:tc>
          <w:tcPr>
            <w:tcW w:w="1320" w:type="dxa"/>
          </w:tcPr>
          <w:p w14:paraId="443CBD07" w14:textId="184E7F86" w:rsidR="00FC6E85" w:rsidRPr="00FC6E85" w:rsidRDefault="000E7559" w:rsidP="00FC6E85">
            <w:pPr>
              <w:rPr>
                <w:rFonts w:eastAsia="Calibri"/>
                <w:lang w:val="lv-LV"/>
              </w:rPr>
            </w:pPr>
            <w:r>
              <w:rPr>
                <w:rFonts w:eastAsia="Calibri"/>
                <w:lang w:val="lv-LV"/>
              </w:rPr>
              <w:t>51,54</w:t>
            </w:r>
          </w:p>
        </w:tc>
        <w:tc>
          <w:tcPr>
            <w:tcW w:w="1786" w:type="dxa"/>
          </w:tcPr>
          <w:p w14:paraId="5D702862" w14:textId="14636595" w:rsidR="00FC6E85" w:rsidRPr="00FC6E85" w:rsidRDefault="00FC6E85" w:rsidP="00FC6E85">
            <w:pPr>
              <w:rPr>
                <w:rFonts w:eastAsia="Calibri"/>
                <w:lang w:val="lv-LV"/>
              </w:rPr>
            </w:pPr>
            <w:r w:rsidRPr="00FC6E85">
              <w:rPr>
                <w:rFonts w:eastAsia="Calibri"/>
                <w:lang w:val="lv-LV"/>
              </w:rPr>
              <w:t>5,67</w:t>
            </w:r>
          </w:p>
        </w:tc>
      </w:tr>
      <w:tr w:rsidR="00FC6E85" w:rsidRPr="00FC6E85" w14:paraId="0FB7ADF3" w14:textId="77777777" w:rsidTr="00FC6E85">
        <w:tc>
          <w:tcPr>
            <w:tcW w:w="1840" w:type="dxa"/>
          </w:tcPr>
          <w:p w14:paraId="0DFD62DD" w14:textId="5E8C477D" w:rsidR="00FC6E85" w:rsidRPr="00FC6E85" w:rsidRDefault="000E7559" w:rsidP="00FC6E85">
            <w:pPr>
              <w:rPr>
                <w:rFonts w:eastAsia="Calibri"/>
                <w:lang w:val="lv-LV"/>
              </w:rPr>
            </w:pPr>
            <w:r>
              <w:rPr>
                <w:rFonts w:eastAsia="Calibri"/>
                <w:lang w:val="lv-LV"/>
              </w:rPr>
              <w:t>Latvijas v</w:t>
            </w:r>
            <w:r w:rsidR="00FC6E85" w:rsidRPr="00FC6E85">
              <w:rPr>
                <w:rFonts w:eastAsia="Calibri"/>
                <w:lang w:val="lv-LV"/>
              </w:rPr>
              <w:t>ēsture</w:t>
            </w:r>
          </w:p>
        </w:tc>
        <w:tc>
          <w:tcPr>
            <w:tcW w:w="1559" w:type="dxa"/>
          </w:tcPr>
          <w:p w14:paraId="4CC66A69" w14:textId="77777777" w:rsidR="00FC6E85" w:rsidRPr="00FC6E85" w:rsidRDefault="00FC6E85" w:rsidP="00FC6E85">
            <w:pPr>
              <w:rPr>
                <w:rFonts w:eastAsia="Calibri"/>
                <w:lang w:val="lv-LV"/>
              </w:rPr>
            </w:pPr>
            <w:r w:rsidRPr="00FC6E85">
              <w:rPr>
                <w:rFonts w:eastAsia="Calibri"/>
                <w:lang w:val="lv-LV"/>
              </w:rPr>
              <w:t>65,18</w:t>
            </w:r>
          </w:p>
        </w:tc>
        <w:tc>
          <w:tcPr>
            <w:tcW w:w="1560" w:type="dxa"/>
          </w:tcPr>
          <w:p w14:paraId="044942F1" w14:textId="77777777" w:rsidR="00FC6E85" w:rsidRPr="00FC6E85" w:rsidRDefault="00FC6E85" w:rsidP="00FC6E85">
            <w:pPr>
              <w:rPr>
                <w:rFonts w:eastAsia="Calibri"/>
                <w:lang w:val="lv-LV"/>
              </w:rPr>
            </w:pPr>
          </w:p>
        </w:tc>
        <w:tc>
          <w:tcPr>
            <w:tcW w:w="1320" w:type="dxa"/>
          </w:tcPr>
          <w:p w14:paraId="6E1DCD6B" w14:textId="71179C52" w:rsidR="00FC6E85" w:rsidRPr="00FC6E85" w:rsidRDefault="000E7559" w:rsidP="00FC6E85">
            <w:pPr>
              <w:rPr>
                <w:rFonts w:eastAsia="Calibri"/>
                <w:lang w:val="lv-LV"/>
              </w:rPr>
            </w:pPr>
            <w:r>
              <w:rPr>
                <w:rFonts w:eastAsia="Calibri"/>
                <w:lang w:val="lv-LV"/>
              </w:rPr>
              <w:t>61,62</w:t>
            </w:r>
          </w:p>
        </w:tc>
        <w:tc>
          <w:tcPr>
            <w:tcW w:w="1786" w:type="dxa"/>
          </w:tcPr>
          <w:p w14:paraId="72ED2BD6" w14:textId="692C935A" w:rsidR="00FC6E85" w:rsidRPr="00FC6E85" w:rsidRDefault="00FC6E85" w:rsidP="00FC6E85">
            <w:pPr>
              <w:rPr>
                <w:rFonts w:eastAsia="Calibri"/>
                <w:lang w:val="lv-LV"/>
              </w:rPr>
            </w:pPr>
            <w:r w:rsidRPr="00FC6E85">
              <w:rPr>
                <w:rFonts w:eastAsia="Calibri"/>
                <w:lang w:val="lv-LV"/>
              </w:rPr>
              <w:t>6,00</w:t>
            </w:r>
          </w:p>
        </w:tc>
      </w:tr>
      <w:tr w:rsidR="00FC6E85" w:rsidRPr="00FC6E85" w14:paraId="1EE7CBB7" w14:textId="77777777" w:rsidTr="00FC6E85">
        <w:tc>
          <w:tcPr>
            <w:tcW w:w="1840" w:type="dxa"/>
          </w:tcPr>
          <w:p w14:paraId="14990AD6" w14:textId="18F825B2" w:rsidR="00FC6E85" w:rsidRPr="00FC6E85" w:rsidRDefault="000E7559" w:rsidP="00FC6E85">
            <w:pPr>
              <w:rPr>
                <w:rFonts w:eastAsia="Calibri"/>
                <w:lang w:val="lv-LV"/>
              </w:rPr>
            </w:pPr>
            <w:r>
              <w:rPr>
                <w:rFonts w:eastAsia="Calibri"/>
                <w:lang w:val="lv-LV"/>
              </w:rPr>
              <w:t>Angļu valoda</w:t>
            </w:r>
          </w:p>
        </w:tc>
        <w:tc>
          <w:tcPr>
            <w:tcW w:w="1559" w:type="dxa"/>
          </w:tcPr>
          <w:p w14:paraId="4E417920" w14:textId="77777777" w:rsidR="00FC6E85" w:rsidRPr="00FC6E85" w:rsidRDefault="00FC6E85" w:rsidP="00FC6E85">
            <w:pPr>
              <w:rPr>
                <w:rFonts w:eastAsia="Calibri"/>
                <w:lang w:val="lv-LV"/>
              </w:rPr>
            </w:pPr>
            <w:r w:rsidRPr="00FC6E85">
              <w:rPr>
                <w:rFonts w:eastAsia="Calibri"/>
                <w:lang w:val="lv-LV"/>
              </w:rPr>
              <w:t>63,75</w:t>
            </w:r>
          </w:p>
        </w:tc>
        <w:tc>
          <w:tcPr>
            <w:tcW w:w="1560" w:type="dxa"/>
          </w:tcPr>
          <w:p w14:paraId="69CFB714" w14:textId="77777777" w:rsidR="00FC6E85" w:rsidRPr="00FC6E85" w:rsidRDefault="00FC6E85" w:rsidP="00FC6E85">
            <w:pPr>
              <w:rPr>
                <w:rFonts w:eastAsia="Calibri"/>
                <w:lang w:val="lv-LV"/>
              </w:rPr>
            </w:pPr>
          </w:p>
        </w:tc>
        <w:tc>
          <w:tcPr>
            <w:tcW w:w="1320" w:type="dxa"/>
          </w:tcPr>
          <w:p w14:paraId="28A3336A" w14:textId="2A296677" w:rsidR="00FC6E85" w:rsidRPr="00FC6E85" w:rsidRDefault="002D3D4D" w:rsidP="00FC6E85">
            <w:pPr>
              <w:rPr>
                <w:rFonts w:eastAsia="Calibri"/>
                <w:lang w:val="lv-LV"/>
              </w:rPr>
            </w:pPr>
            <w:r>
              <w:rPr>
                <w:rFonts w:eastAsia="Calibri"/>
                <w:lang w:val="lv-LV"/>
              </w:rPr>
              <w:t>74,19</w:t>
            </w:r>
          </w:p>
        </w:tc>
        <w:tc>
          <w:tcPr>
            <w:tcW w:w="1786" w:type="dxa"/>
          </w:tcPr>
          <w:p w14:paraId="40D0A21B" w14:textId="085E6707" w:rsidR="00FC6E85" w:rsidRPr="00FC6E85" w:rsidRDefault="00FC6E85" w:rsidP="00FC6E85">
            <w:pPr>
              <w:rPr>
                <w:rFonts w:eastAsia="Calibri"/>
                <w:lang w:val="lv-LV"/>
              </w:rPr>
            </w:pPr>
            <w:r w:rsidRPr="00FC6E85">
              <w:rPr>
                <w:rFonts w:eastAsia="Calibri"/>
                <w:lang w:val="lv-LV"/>
              </w:rPr>
              <w:t>5,83</w:t>
            </w:r>
          </w:p>
        </w:tc>
      </w:tr>
    </w:tbl>
    <w:p w14:paraId="51D2980B" w14:textId="580C793C" w:rsidR="00FC6E85" w:rsidRDefault="00FC6E85" w:rsidP="00FC6E85">
      <w:pPr>
        <w:spacing w:after="0" w:line="240" w:lineRule="auto"/>
        <w:jc w:val="both"/>
        <w:rPr>
          <w:rFonts w:ascii="Times New Roman" w:hAnsi="Times New Roman" w:cs="Times New Roman"/>
          <w:sz w:val="24"/>
          <w:szCs w:val="24"/>
          <w:lang w:val="lv-LV"/>
        </w:rPr>
      </w:pPr>
    </w:p>
    <w:p w14:paraId="6A00BB13" w14:textId="77777777" w:rsidR="001A379E" w:rsidRPr="001A379E" w:rsidRDefault="001A379E" w:rsidP="001A379E">
      <w:pPr>
        <w:spacing w:after="0" w:line="240" w:lineRule="auto"/>
        <w:ind w:firstLine="720"/>
        <w:jc w:val="both"/>
        <w:rPr>
          <w:rFonts w:ascii="Times New Roman" w:hAnsi="Times New Roman" w:cs="Times New Roman"/>
          <w:sz w:val="24"/>
          <w:szCs w:val="24"/>
          <w:lang w:val="lv-LV"/>
        </w:rPr>
      </w:pPr>
      <w:r w:rsidRPr="001A379E">
        <w:rPr>
          <w:rFonts w:ascii="Times New Roman" w:hAnsi="Times New Roman" w:cs="Times New Roman"/>
          <w:sz w:val="24"/>
          <w:szCs w:val="24"/>
          <w:lang w:val="lv-LV"/>
        </w:rPr>
        <w:t xml:space="preserve">Matemātikas VPD tika uzrādīti labi rezultāti - par 7,45% labāk nekā novadā, par 6,06 % labāk nekā valstī. 20 % izglītojamiem matemātikas VPD vērtējumā ir pozitīva dinamika – augstāks vērtējums salīdzinājumā ar 7.-9.klases posma gada noslēguma vērtējumiem. Turpmāk mācību priekšmeta apguvē ir jāpilnveido skaitļošanas prasmes, darbu ar kombinētā satura  uzdevumiem, to izpratni, jātrenē loģiskā domāšana. </w:t>
      </w:r>
    </w:p>
    <w:p w14:paraId="3915BB98" w14:textId="77777777" w:rsidR="001A379E" w:rsidRPr="001A379E" w:rsidRDefault="001A379E" w:rsidP="001A379E">
      <w:pPr>
        <w:spacing w:after="0" w:line="240" w:lineRule="auto"/>
        <w:ind w:firstLine="720"/>
        <w:jc w:val="both"/>
        <w:rPr>
          <w:rFonts w:ascii="Times New Roman" w:hAnsi="Times New Roman" w:cs="Times New Roman"/>
          <w:sz w:val="24"/>
          <w:szCs w:val="24"/>
          <w:lang w:val="lv-LV"/>
        </w:rPr>
      </w:pPr>
      <w:r w:rsidRPr="001A379E">
        <w:rPr>
          <w:rFonts w:ascii="Times New Roman" w:hAnsi="Times New Roman" w:cs="Times New Roman"/>
          <w:sz w:val="24"/>
          <w:szCs w:val="24"/>
          <w:lang w:val="lv-LV"/>
        </w:rPr>
        <w:t>Latviešu valodas VPD rezultāti ir par 8,1 % augstāki nekā novadā, par 8,87 % nekā valstī. 40 % izglītojamiem vērtējums latviešu valodas VPD ir augstāks salīdzinājumā ar 7.-9.klases posma noslēguma vērtējumiem. Turpmāk ikdienas darbā veicināt izglītojamo analītisko domāšanu, pareizu interpunkcijas lietojumu.</w:t>
      </w:r>
    </w:p>
    <w:p w14:paraId="11CA7B15" w14:textId="77777777" w:rsidR="001A379E" w:rsidRPr="001A379E" w:rsidRDefault="001A379E" w:rsidP="001A379E">
      <w:pPr>
        <w:spacing w:after="0" w:line="240" w:lineRule="auto"/>
        <w:ind w:firstLine="720"/>
        <w:jc w:val="both"/>
        <w:rPr>
          <w:rFonts w:ascii="Times New Roman" w:hAnsi="Times New Roman" w:cs="Times New Roman"/>
          <w:sz w:val="24"/>
          <w:szCs w:val="24"/>
          <w:lang w:val="lv-LV"/>
        </w:rPr>
      </w:pPr>
      <w:r w:rsidRPr="001A379E">
        <w:rPr>
          <w:rFonts w:ascii="Times New Roman" w:hAnsi="Times New Roman" w:cs="Times New Roman"/>
          <w:sz w:val="24"/>
          <w:szCs w:val="24"/>
          <w:lang w:val="lv-LV"/>
        </w:rPr>
        <w:t>Latvijas vēstures VPD rezultāti ir atbilstoši novada procentuālajam rādītājam, par 3,56 % augstāki nekā valstī.</w:t>
      </w:r>
    </w:p>
    <w:p w14:paraId="0F0CEBD4" w14:textId="0367EA45" w:rsidR="00FC6E85" w:rsidRDefault="001A379E" w:rsidP="001A379E">
      <w:pPr>
        <w:spacing w:after="0" w:line="240" w:lineRule="auto"/>
        <w:ind w:firstLine="720"/>
        <w:jc w:val="both"/>
        <w:rPr>
          <w:rFonts w:ascii="Times New Roman" w:hAnsi="Times New Roman" w:cs="Times New Roman"/>
          <w:sz w:val="24"/>
          <w:szCs w:val="24"/>
          <w:lang w:val="lv-LV"/>
        </w:rPr>
      </w:pPr>
      <w:r w:rsidRPr="001A379E">
        <w:rPr>
          <w:rFonts w:ascii="Times New Roman" w:hAnsi="Times New Roman" w:cs="Times New Roman"/>
          <w:sz w:val="24"/>
          <w:szCs w:val="24"/>
          <w:lang w:val="lv-LV"/>
        </w:rPr>
        <w:t>VPD rezultāti angļu valodā ir zemāki par novada un valsts rezultātiem (12 % un 10 %).  Tika uzrādīta pozitīva indivīdu izaugsmes dinamika - 50%  izglītojamiem angļu valodas VPD rezultāts ir par vienu balli augstāks nekā gada vērtējums 7.-9.klašu posmā. Turpmāk jāpilnveido rakstīšanas prasmes, jo īpaši vārdu pareizrakstība.</w:t>
      </w:r>
    </w:p>
    <w:p w14:paraId="44930B1E" w14:textId="77777777" w:rsidR="001A379E" w:rsidRDefault="001A379E" w:rsidP="001A379E">
      <w:pPr>
        <w:spacing w:after="0" w:line="240" w:lineRule="auto"/>
        <w:jc w:val="both"/>
        <w:rPr>
          <w:rFonts w:ascii="Times New Roman" w:hAnsi="Times New Roman" w:cs="Times New Roman"/>
          <w:sz w:val="24"/>
          <w:szCs w:val="24"/>
          <w:lang w:val="lv-LV"/>
        </w:rPr>
      </w:pPr>
    </w:p>
    <w:p w14:paraId="61C428D2" w14:textId="5861EBF6" w:rsidR="00410F11" w:rsidRPr="00077DCB" w:rsidRDefault="00077DCB" w:rsidP="00077D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00410F11" w:rsidRPr="00077DCB">
        <w:rPr>
          <w:rFonts w:ascii="Times New Roman" w:hAnsi="Times New Roman" w:cs="Times New Roman"/>
          <w:sz w:val="24"/>
          <w:szCs w:val="24"/>
          <w:lang w:val="lv-LV"/>
        </w:rPr>
        <w:t>par sasniegumiem valsts pārbaudes darbos pēdējo trīs gadu laikā</w:t>
      </w:r>
      <w:r w:rsidR="00FE09BB" w:rsidRPr="00077DCB">
        <w:rPr>
          <w:rFonts w:ascii="Times New Roman" w:hAnsi="Times New Roman" w:cs="Times New Roman"/>
          <w:sz w:val="24"/>
          <w:szCs w:val="24"/>
          <w:lang w:val="lv-LV"/>
        </w:rPr>
        <w:t>.</w:t>
      </w:r>
    </w:p>
    <w:p w14:paraId="11CB4F1D" w14:textId="4912C849" w:rsidR="00FC6EAB" w:rsidRDefault="003042C4"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C6EAB">
        <w:rPr>
          <w:rFonts w:ascii="Times New Roman" w:hAnsi="Times New Roman" w:cs="Times New Roman"/>
          <w:sz w:val="24"/>
          <w:szCs w:val="24"/>
          <w:lang w:val="lv-LV"/>
        </w:rPr>
        <w:t>Izglītības iestādes galvenie secinājumi par izglītojamo sniegumu ikdienas mācībās.</w:t>
      </w:r>
    </w:p>
    <w:p w14:paraId="709A86A9" w14:textId="77777777" w:rsidR="00C44A3C" w:rsidRPr="00AB730A" w:rsidRDefault="00C44A3C" w:rsidP="00C44A3C">
      <w:pPr>
        <w:pStyle w:val="Sarakstarindkopa"/>
        <w:spacing w:after="0" w:line="240" w:lineRule="auto"/>
        <w:ind w:left="426"/>
        <w:jc w:val="both"/>
        <w:rPr>
          <w:rFonts w:ascii="Times New Roman" w:hAnsi="Times New Roman" w:cs="Times New Roman"/>
          <w:sz w:val="24"/>
          <w:szCs w:val="24"/>
          <w:lang w:val="lv-LV"/>
        </w:rPr>
      </w:pPr>
    </w:p>
    <w:p w14:paraId="1D79A0F2" w14:textId="556E75E6" w:rsidR="00C44A3C" w:rsidRPr="00520BEF" w:rsidRDefault="00C44A3C" w:rsidP="00520BEF">
      <w:pPr>
        <w:spacing w:after="0" w:line="240" w:lineRule="auto"/>
        <w:jc w:val="both"/>
        <w:rPr>
          <w:rFonts w:ascii="Times New Roman" w:hAnsi="Times New Roman" w:cs="Times New Roman"/>
          <w:sz w:val="24"/>
          <w:szCs w:val="24"/>
          <w:lang w:val="lv-LV"/>
        </w:rPr>
      </w:pPr>
      <w:r w:rsidRPr="00520BEF">
        <w:rPr>
          <w:rFonts w:ascii="Times New Roman" w:hAnsi="Times New Roman" w:cs="Times New Roman"/>
          <w:sz w:val="24"/>
          <w:szCs w:val="24"/>
          <w:lang w:val="lv-LV"/>
        </w:rPr>
        <w:t>2018./2019.mācību gada 9.klases rezultāti (procentos) valsts pārbaudes darbos ir sekojoši:</w:t>
      </w:r>
    </w:p>
    <w:tbl>
      <w:tblPr>
        <w:tblStyle w:val="Reatabula"/>
        <w:tblpPr w:leftFromText="180" w:rightFromText="180" w:vertAnchor="text" w:horzAnchor="margin" w:tblpXSpec="center" w:tblpY="134"/>
        <w:tblW w:w="0" w:type="auto"/>
        <w:tblLook w:val="04A0" w:firstRow="1" w:lastRow="0" w:firstColumn="1" w:lastColumn="0" w:noHBand="0" w:noVBand="1"/>
      </w:tblPr>
      <w:tblGrid>
        <w:gridCol w:w="2375"/>
        <w:gridCol w:w="1953"/>
        <w:gridCol w:w="2222"/>
        <w:gridCol w:w="2086"/>
      </w:tblGrid>
      <w:tr w:rsidR="00C44A3C" w:rsidRPr="00E421BE" w14:paraId="4D93A90E" w14:textId="77777777" w:rsidTr="00484A35">
        <w:tc>
          <w:tcPr>
            <w:tcW w:w="2410" w:type="dxa"/>
          </w:tcPr>
          <w:p w14:paraId="5E203702" w14:textId="77777777" w:rsidR="00C44A3C" w:rsidRPr="006A77FC" w:rsidRDefault="00C44A3C" w:rsidP="00484A35">
            <w:pPr>
              <w:ind w:firstLine="34"/>
              <w:jc w:val="center"/>
              <w:rPr>
                <w:rFonts w:ascii="Times New Roman" w:hAnsi="Times New Roman" w:cs="Times New Roman"/>
                <w:b/>
                <w:lang w:val="lv-LV"/>
              </w:rPr>
            </w:pPr>
            <w:r w:rsidRPr="006A77FC">
              <w:rPr>
                <w:rFonts w:ascii="Times New Roman" w:hAnsi="Times New Roman" w:cs="Times New Roman"/>
                <w:b/>
                <w:lang w:val="lv-LV"/>
              </w:rPr>
              <w:t>Mācību priekšmets</w:t>
            </w:r>
          </w:p>
        </w:tc>
        <w:tc>
          <w:tcPr>
            <w:tcW w:w="1985" w:type="dxa"/>
          </w:tcPr>
          <w:p w14:paraId="14EB326D" w14:textId="77777777" w:rsidR="00C44A3C" w:rsidRPr="006A77FC" w:rsidRDefault="00C44A3C" w:rsidP="00484A35">
            <w:pPr>
              <w:ind w:firstLine="567"/>
              <w:jc w:val="center"/>
              <w:rPr>
                <w:rFonts w:ascii="Times New Roman" w:hAnsi="Times New Roman" w:cs="Times New Roman"/>
                <w:b/>
                <w:lang w:val="lv-LV"/>
              </w:rPr>
            </w:pPr>
            <w:r>
              <w:rPr>
                <w:rFonts w:ascii="Times New Roman" w:hAnsi="Times New Roman" w:cs="Times New Roman"/>
                <w:b/>
                <w:lang w:val="lv-LV"/>
              </w:rPr>
              <w:t>S</w:t>
            </w:r>
            <w:r w:rsidRPr="006A77FC">
              <w:rPr>
                <w:rFonts w:ascii="Times New Roman" w:hAnsi="Times New Roman" w:cs="Times New Roman"/>
                <w:b/>
                <w:lang w:val="lv-LV"/>
              </w:rPr>
              <w:t>kolā</w:t>
            </w:r>
          </w:p>
        </w:tc>
        <w:tc>
          <w:tcPr>
            <w:tcW w:w="2268" w:type="dxa"/>
          </w:tcPr>
          <w:p w14:paraId="1DFA4C40" w14:textId="77777777" w:rsidR="00C44A3C" w:rsidRPr="006A77FC" w:rsidRDefault="00C44A3C" w:rsidP="00484A35">
            <w:pPr>
              <w:ind w:firstLine="567"/>
              <w:jc w:val="center"/>
              <w:rPr>
                <w:rFonts w:ascii="Times New Roman" w:hAnsi="Times New Roman" w:cs="Times New Roman"/>
                <w:b/>
                <w:lang w:val="lv-LV"/>
              </w:rPr>
            </w:pPr>
            <w:r>
              <w:rPr>
                <w:rFonts w:ascii="Times New Roman" w:hAnsi="Times New Roman" w:cs="Times New Roman"/>
                <w:b/>
                <w:lang w:val="lv-LV"/>
              </w:rPr>
              <w:t>N</w:t>
            </w:r>
            <w:r w:rsidRPr="006A77FC">
              <w:rPr>
                <w:rFonts w:ascii="Times New Roman" w:hAnsi="Times New Roman" w:cs="Times New Roman"/>
                <w:b/>
                <w:lang w:val="lv-LV"/>
              </w:rPr>
              <w:t>ovadā</w:t>
            </w:r>
          </w:p>
        </w:tc>
        <w:tc>
          <w:tcPr>
            <w:tcW w:w="2126" w:type="dxa"/>
          </w:tcPr>
          <w:p w14:paraId="264C061F" w14:textId="77777777" w:rsidR="00C44A3C" w:rsidRPr="006A77FC" w:rsidRDefault="00C44A3C" w:rsidP="00484A35">
            <w:pPr>
              <w:ind w:firstLine="567"/>
              <w:jc w:val="center"/>
              <w:rPr>
                <w:rFonts w:ascii="Times New Roman" w:hAnsi="Times New Roman" w:cs="Times New Roman"/>
                <w:b/>
                <w:lang w:val="lv-LV"/>
              </w:rPr>
            </w:pPr>
            <w:r>
              <w:rPr>
                <w:rFonts w:ascii="Times New Roman" w:hAnsi="Times New Roman" w:cs="Times New Roman"/>
                <w:b/>
                <w:lang w:val="lv-LV"/>
              </w:rPr>
              <w:t>V</w:t>
            </w:r>
            <w:r w:rsidRPr="006A77FC">
              <w:rPr>
                <w:rFonts w:ascii="Times New Roman" w:hAnsi="Times New Roman" w:cs="Times New Roman"/>
                <w:b/>
                <w:lang w:val="lv-LV"/>
              </w:rPr>
              <w:t>alstī</w:t>
            </w:r>
          </w:p>
        </w:tc>
      </w:tr>
      <w:tr w:rsidR="00C44A3C" w:rsidRPr="00E421BE" w14:paraId="1E4C3134" w14:textId="77777777" w:rsidTr="00484A35">
        <w:tc>
          <w:tcPr>
            <w:tcW w:w="2410" w:type="dxa"/>
          </w:tcPr>
          <w:p w14:paraId="34C9571A" w14:textId="77777777" w:rsidR="00C44A3C" w:rsidRPr="006A77FC" w:rsidRDefault="00C44A3C" w:rsidP="00484A35">
            <w:pPr>
              <w:ind w:firstLine="567"/>
              <w:rPr>
                <w:rFonts w:ascii="Times New Roman" w:hAnsi="Times New Roman" w:cs="Times New Roman"/>
                <w:lang w:val="lv-LV"/>
              </w:rPr>
            </w:pPr>
            <w:r w:rsidRPr="006A77FC">
              <w:rPr>
                <w:rFonts w:ascii="Times New Roman" w:hAnsi="Times New Roman" w:cs="Times New Roman"/>
                <w:lang w:val="lv-LV"/>
              </w:rPr>
              <w:t>Latviešu valoda</w:t>
            </w:r>
          </w:p>
        </w:tc>
        <w:tc>
          <w:tcPr>
            <w:tcW w:w="1985" w:type="dxa"/>
          </w:tcPr>
          <w:p w14:paraId="2B1F5232"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60,81%</w:t>
            </w:r>
          </w:p>
        </w:tc>
        <w:tc>
          <w:tcPr>
            <w:tcW w:w="2268" w:type="dxa"/>
          </w:tcPr>
          <w:p w14:paraId="6BA10228"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64,02%</w:t>
            </w:r>
          </w:p>
        </w:tc>
        <w:tc>
          <w:tcPr>
            <w:tcW w:w="2126" w:type="dxa"/>
          </w:tcPr>
          <w:p w14:paraId="1ADCA900"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64,39%</w:t>
            </w:r>
          </w:p>
        </w:tc>
      </w:tr>
      <w:tr w:rsidR="00C44A3C" w:rsidRPr="00E421BE" w14:paraId="2ACCDEF8" w14:textId="77777777" w:rsidTr="00484A35">
        <w:tc>
          <w:tcPr>
            <w:tcW w:w="2410" w:type="dxa"/>
          </w:tcPr>
          <w:p w14:paraId="6C086750" w14:textId="77777777" w:rsidR="00C44A3C" w:rsidRPr="006A77FC" w:rsidRDefault="00C44A3C" w:rsidP="00484A35">
            <w:pPr>
              <w:ind w:firstLine="567"/>
              <w:rPr>
                <w:rFonts w:ascii="Times New Roman" w:hAnsi="Times New Roman" w:cs="Times New Roman"/>
                <w:lang w:val="lv-LV"/>
              </w:rPr>
            </w:pPr>
            <w:r w:rsidRPr="006A77FC">
              <w:rPr>
                <w:rFonts w:ascii="Times New Roman" w:hAnsi="Times New Roman" w:cs="Times New Roman"/>
                <w:lang w:val="lv-LV"/>
              </w:rPr>
              <w:t>Angļu valoda</w:t>
            </w:r>
          </w:p>
        </w:tc>
        <w:tc>
          <w:tcPr>
            <w:tcW w:w="1985" w:type="dxa"/>
          </w:tcPr>
          <w:p w14:paraId="19705696"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62,67%</w:t>
            </w:r>
          </w:p>
        </w:tc>
        <w:tc>
          <w:tcPr>
            <w:tcW w:w="2268" w:type="dxa"/>
          </w:tcPr>
          <w:p w14:paraId="05B668FA"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69,77%</w:t>
            </w:r>
          </w:p>
        </w:tc>
        <w:tc>
          <w:tcPr>
            <w:tcW w:w="2126" w:type="dxa"/>
          </w:tcPr>
          <w:p w14:paraId="41E5DFF0"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70,50%</w:t>
            </w:r>
          </w:p>
        </w:tc>
      </w:tr>
      <w:tr w:rsidR="00C44A3C" w:rsidRPr="00E421BE" w14:paraId="16C58BD4" w14:textId="77777777" w:rsidTr="00484A35">
        <w:tc>
          <w:tcPr>
            <w:tcW w:w="2410" w:type="dxa"/>
          </w:tcPr>
          <w:p w14:paraId="10928F56" w14:textId="77777777" w:rsidR="00C44A3C" w:rsidRPr="006A77FC" w:rsidRDefault="00C44A3C" w:rsidP="00484A35">
            <w:pPr>
              <w:ind w:firstLine="567"/>
              <w:rPr>
                <w:rFonts w:ascii="Times New Roman" w:hAnsi="Times New Roman" w:cs="Times New Roman"/>
                <w:lang w:val="lv-LV"/>
              </w:rPr>
            </w:pPr>
            <w:r w:rsidRPr="006A77FC">
              <w:rPr>
                <w:rFonts w:ascii="Times New Roman" w:hAnsi="Times New Roman" w:cs="Times New Roman"/>
                <w:lang w:val="lv-LV"/>
              </w:rPr>
              <w:t>Krievu valoda</w:t>
            </w:r>
          </w:p>
        </w:tc>
        <w:tc>
          <w:tcPr>
            <w:tcW w:w="1985" w:type="dxa"/>
          </w:tcPr>
          <w:p w14:paraId="61919568"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60,33%</w:t>
            </w:r>
          </w:p>
        </w:tc>
        <w:tc>
          <w:tcPr>
            <w:tcW w:w="2268" w:type="dxa"/>
          </w:tcPr>
          <w:p w14:paraId="291D9558"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66,63%</w:t>
            </w:r>
          </w:p>
        </w:tc>
        <w:tc>
          <w:tcPr>
            <w:tcW w:w="2126" w:type="dxa"/>
          </w:tcPr>
          <w:p w14:paraId="6EF70D49"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71,27%</w:t>
            </w:r>
          </w:p>
        </w:tc>
      </w:tr>
      <w:tr w:rsidR="00C44A3C" w:rsidRPr="00E421BE" w14:paraId="1859A99B" w14:textId="77777777" w:rsidTr="00484A35">
        <w:tc>
          <w:tcPr>
            <w:tcW w:w="2410" w:type="dxa"/>
          </w:tcPr>
          <w:p w14:paraId="3392037B" w14:textId="77777777" w:rsidR="00C44A3C" w:rsidRPr="006A77FC" w:rsidRDefault="00C44A3C" w:rsidP="00484A35">
            <w:pPr>
              <w:ind w:firstLine="567"/>
              <w:rPr>
                <w:rFonts w:ascii="Times New Roman" w:hAnsi="Times New Roman" w:cs="Times New Roman"/>
                <w:lang w:val="lv-LV"/>
              </w:rPr>
            </w:pPr>
            <w:r w:rsidRPr="006A77FC">
              <w:rPr>
                <w:rFonts w:ascii="Times New Roman" w:hAnsi="Times New Roman" w:cs="Times New Roman"/>
                <w:lang w:val="lv-LV"/>
              </w:rPr>
              <w:t>Matemātika</w:t>
            </w:r>
          </w:p>
        </w:tc>
        <w:tc>
          <w:tcPr>
            <w:tcW w:w="1985" w:type="dxa"/>
          </w:tcPr>
          <w:p w14:paraId="039C59C2"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51,56%</w:t>
            </w:r>
          </w:p>
        </w:tc>
        <w:tc>
          <w:tcPr>
            <w:tcW w:w="2268" w:type="dxa"/>
          </w:tcPr>
          <w:p w14:paraId="202C1350"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53,02%</w:t>
            </w:r>
          </w:p>
        </w:tc>
        <w:tc>
          <w:tcPr>
            <w:tcW w:w="2126" w:type="dxa"/>
          </w:tcPr>
          <w:p w14:paraId="55EDA181"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55,68%</w:t>
            </w:r>
          </w:p>
        </w:tc>
      </w:tr>
      <w:tr w:rsidR="00C44A3C" w:rsidRPr="00E421BE" w14:paraId="3FA0C957" w14:textId="77777777" w:rsidTr="00484A35">
        <w:tc>
          <w:tcPr>
            <w:tcW w:w="2410" w:type="dxa"/>
          </w:tcPr>
          <w:p w14:paraId="42CC6DAF" w14:textId="77777777" w:rsidR="00C44A3C" w:rsidRPr="006A77FC" w:rsidRDefault="00C44A3C" w:rsidP="00484A35">
            <w:pPr>
              <w:ind w:firstLine="567"/>
              <w:rPr>
                <w:rFonts w:ascii="Times New Roman" w:hAnsi="Times New Roman" w:cs="Times New Roman"/>
                <w:lang w:val="lv-LV"/>
              </w:rPr>
            </w:pPr>
            <w:r w:rsidRPr="006A77FC">
              <w:rPr>
                <w:rFonts w:ascii="Times New Roman" w:hAnsi="Times New Roman" w:cs="Times New Roman"/>
                <w:lang w:val="lv-LV"/>
              </w:rPr>
              <w:t>Latvijas vēsture</w:t>
            </w:r>
          </w:p>
        </w:tc>
        <w:tc>
          <w:tcPr>
            <w:tcW w:w="1985" w:type="dxa"/>
          </w:tcPr>
          <w:p w14:paraId="3798AC44"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55,95%</w:t>
            </w:r>
          </w:p>
        </w:tc>
        <w:tc>
          <w:tcPr>
            <w:tcW w:w="2268" w:type="dxa"/>
          </w:tcPr>
          <w:p w14:paraId="7715706F"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61,53%</w:t>
            </w:r>
          </w:p>
        </w:tc>
        <w:tc>
          <w:tcPr>
            <w:tcW w:w="2126" w:type="dxa"/>
          </w:tcPr>
          <w:p w14:paraId="0C875A53"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63,01%</w:t>
            </w:r>
          </w:p>
        </w:tc>
      </w:tr>
    </w:tbl>
    <w:p w14:paraId="1658E85F" w14:textId="77777777" w:rsidR="00C44A3C" w:rsidRPr="00166882" w:rsidRDefault="00C44A3C" w:rsidP="00C44A3C">
      <w:pPr>
        <w:spacing w:after="0" w:line="240" w:lineRule="auto"/>
        <w:ind w:firstLine="567"/>
        <w:rPr>
          <w:rFonts w:ascii="Times New Roman" w:hAnsi="Times New Roman" w:cs="Times New Roman"/>
          <w:lang w:val="lv-LV"/>
        </w:rPr>
      </w:pPr>
    </w:p>
    <w:p w14:paraId="6BD74F36" w14:textId="77777777" w:rsidR="00C44A3C" w:rsidRPr="00166882" w:rsidRDefault="00C44A3C" w:rsidP="00C44A3C">
      <w:pPr>
        <w:spacing w:after="0" w:line="240" w:lineRule="auto"/>
        <w:ind w:firstLine="567"/>
        <w:rPr>
          <w:rFonts w:ascii="Times New Roman" w:hAnsi="Times New Roman" w:cs="Times New Roman"/>
          <w:lang w:val="lv-LV"/>
        </w:rPr>
      </w:pPr>
    </w:p>
    <w:tbl>
      <w:tblPr>
        <w:tblStyle w:val="Reatabula"/>
        <w:tblW w:w="10065" w:type="dxa"/>
        <w:tblInd w:w="-289" w:type="dxa"/>
        <w:tblLook w:val="04A0" w:firstRow="1" w:lastRow="0" w:firstColumn="1" w:lastColumn="0" w:noHBand="0" w:noVBand="1"/>
      </w:tblPr>
      <w:tblGrid>
        <w:gridCol w:w="1669"/>
        <w:gridCol w:w="1291"/>
        <w:gridCol w:w="1271"/>
        <w:gridCol w:w="1281"/>
        <w:gridCol w:w="1408"/>
        <w:gridCol w:w="1462"/>
        <w:gridCol w:w="1683"/>
      </w:tblGrid>
      <w:tr w:rsidR="00C44A3C" w:rsidRPr="006A77FC" w14:paraId="7215B7DD" w14:textId="77777777" w:rsidTr="00484A35">
        <w:tc>
          <w:tcPr>
            <w:tcW w:w="1669" w:type="dxa"/>
            <w:vMerge w:val="restart"/>
          </w:tcPr>
          <w:p w14:paraId="3E06CE7E"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Mācību</w:t>
            </w:r>
          </w:p>
          <w:p w14:paraId="262C85A0"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priekšmets</w:t>
            </w:r>
          </w:p>
        </w:tc>
        <w:tc>
          <w:tcPr>
            <w:tcW w:w="1291" w:type="dxa"/>
            <w:vMerge w:val="restart"/>
          </w:tcPr>
          <w:p w14:paraId="150F1A67"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Rezultāts</w:t>
            </w:r>
          </w:p>
          <w:p w14:paraId="7F749BA2"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eksāmenā</w:t>
            </w:r>
          </w:p>
        </w:tc>
        <w:tc>
          <w:tcPr>
            <w:tcW w:w="5422" w:type="dxa"/>
            <w:gridSpan w:val="4"/>
          </w:tcPr>
          <w:p w14:paraId="37839B3A"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Apguves līmeņi</w:t>
            </w:r>
          </w:p>
        </w:tc>
        <w:tc>
          <w:tcPr>
            <w:tcW w:w="1683" w:type="dxa"/>
            <w:vMerge w:val="restart"/>
          </w:tcPr>
          <w:p w14:paraId="4EE6BFD5"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Vidējais klases vērtējums</w:t>
            </w:r>
          </w:p>
          <w:p w14:paraId="055A3E53"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gadā</w:t>
            </w:r>
          </w:p>
        </w:tc>
      </w:tr>
      <w:tr w:rsidR="00C44A3C" w:rsidRPr="006A77FC" w14:paraId="077404DE" w14:textId="77777777" w:rsidTr="00484A35">
        <w:tc>
          <w:tcPr>
            <w:tcW w:w="1669" w:type="dxa"/>
            <w:vMerge/>
          </w:tcPr>
          <w:p w14:paraId="463B7E97" w14:textId="77777777" w:rsidR="00C44A3C" w:rsidRPr="006A77FC" w:rsidRDefault="00C44A3C" w:rsidP="00484A35">
            <w:pPr>
              <w:ind w:firstLine="38"/>
              <w:rPr>
                <w:rFonts w:ascii="Times New Roman" w:hAnsi="Times New Roman" w:cs="Times New Roman"/>
                <w:lang w:val="lv-LV"/>
              </w:rPr>
            </w:pPr>
          </w:p>
        </w:tc>
        <w:tc>
          <w:tcPr>
            <w:tcW w:w="1291" w:type="dxa"/>
            <w:vMerge/>
          </w:tcPr>
          <w:p w14:paraId="73743082" w14:textId="77777777" w:rsidR="00C44A3C" w:rsidRPr="006A77FC" w:rsidRDefault="00C44A3C" w:rsidP="00484A35">
            <w:pPr>
              <w:ind w:firstLine="38"/>
              <w:rPr>
                <w:rFonts w:ascii="Times New Roman" w:hAnsi="Times New Roman" w:cs="Times New Roman"/>
                <w:lang w:val="lv-LV"/>
              </w:rPr>
            </w:pPr>
          </w:p>
        </w:tc>
        <w:tc>
          <w:tcPr>
            <w:tcW w:w="1271" w:type="dxa"/>
          </w:tcPr>
          <w:p w14:paraId="4B75DA45" w14:textId="77777777" w:rsidR="00C44A3C" w:rsidRDefault="00C44A3C" w:rsidP="00484A35">
            <w:pPr>
              <w:ind w:firstLine="38"/>
              <w:jc w:val="center"/>
              <w:rPr>
                <w:rFonts w:ascii="Times New Roman" w:hAnsi="Times New Roman" w:cs="Times New Roman"/>
                <w:b/>
                <w:lang w:val="lv-LV"/>
              </w:rPr>
            </w:pPr>
            <w:proofErr w:type="spellStart"/>
            <w:r w:rsidRPr="006A77FC">
              <w:rPr>
                <w:rFonts w:ascii="Times New Roman" w:hAnsi="Times New Roman" w:cs="Times New Roman"/>
                <w:b/>
                <w:lang w:val="lv-LV"/>
              </w:rPr>
              <w:t>Nepie</w:t>
            </w:r>
            <w:proofErr w:type="spellEnd"/>
            <w:r>
              <w:rPr>
                <w:rFonts w:ascii="Times New Roman" w:hAnsi="Times New Roman" w:cs="Times New Roman"/>
                <w:b/>
                <w:lang w:val="lv-LV"/>
              </w:rPr>
              <w:t>-</w:t>
            </w:r>
          </w:p>
          <w:p w14:paraId="03436A67"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tiekams</w:t>
            </w:r>
          </w:p>
        </w:tc>
        <w:tc>
          <w:tcPr>
            <w:tcW w:w="1281" w:type="dxa"/>
          </w:tcPr>
          <w:p w14:paraId="4C55A305"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Pietiekams</w:t>
            </w:r>
          </w:p>
        </w:tc>
        <w:tc>
          <w:tcPr>
            <w:tcW w:w="1408" w:type="dxa"/>
          </w:tcPr>
          <w:p w14:paraId="0C5BDA1A"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Optimāls</w:t>
            </w:r>
          </w:p>
        </w:tc>
        <w:tc>
          <w:tcPr>
            <w:tcW w:w="1462" w:type="dxa"/>
          </w:tcPr>
          <w:p w14:paraId="3ACAD569" w14:textId="77777777" w:rsidR="00C44A3C" w:rsidRPr="006A77FC" w:rsidRDefault="00C44A3C" w:rsidP="00484A35">
            <w:pPr>
              <w:ind w:firstLine="38"/>
              <w:jc w:val="center"/>
              <w:rPr>
                <w:rFonts w:ascii="Times New Roman" w:hAnsi="Times New Roman" w:cs="Times New Roman"/>
                <w:b/>
                <w:lang w:val="lv-LV"/>
              </w:rPr>
            </w:pPr>
            <w:r w:rsidRPr="006A77FC">
              <w:rPr>
                <w:rFonts w:ascii="Times New Roman" w:hAnsi="Times New Roman" w:cs="Times New Roman"/>
                <w:b/>
                <w:lang w:val="lv-LV"/>
              </w:rPr>
              <w:t>Augsts</w:t>
            </w:r>
          </w:p>
        </w:tc>
        <w:tc>
          <w:tcPr>
            <w:tcW w:w="1683" w:type="dxa"/>
            <w:vMerge/>
          </w:tcPr>
          <w:p w14:paraId="1269FF4E" w14:textId="77777777" w:rsidR="00C44A3C" w:rsidRPr="006A77FC" w:rsidRDefault="00C44A3C" w:rsidP="00484A35">
            <w:pPr>
              <w:ind w:firstLine="38"/>
              <w:rPr>
                <w:rFonts w:ascii="Times New Roman" w:hAnsi="Times New Roman" w:cs="Times New Roman"/>
                <w:lang w:val="lv-LV"/>
              </w:rPr>
            </w:pPr>
          </w:p>
        </w:tc>
      </w:tr>
      <w:tr w:rsidR="00C44A3C" w:rsidRPr="006A77FC" w14:paraId="18A336A5" w14:textId="77777777" w:rsidTr="00484A35">
        <w:tc>
          <w:tcPr>
            <w:tcW w:w="1669" w:type="dxa"/>
          </w:tcPr>
          <w:p w14:paraId="08EB6E9A" w14:textId="77777777" w:rsidR="00C44A3C" w:rsidRPr="006A77FC" w:rsidRDefault="00C44A3C" w:rsidP="00484A35">
            <w:pPr>
              <w:ind w:firstLine="38"/>
              <w:rPr>
                <w:rFonts w:ascii="Times New Roman" w:hAnsi="Times New Roman" w:cs="Times New Roman"/>
                <w:lang w:val="lv-LV"/>
              </w:rPr>
            </w:pPr>
            <w:r w:rsidRPr="006A77FC">
              <w:rPr>
                <w:rFonts w:ascii="Times New Roman" w:hAnsi="Times New Roman" w:cs="Times New Roman"/>
                <w:lang w:val="lv-LV"/>
              </w:rPr>
              <w:t>Latviešu valoda</w:t>
            </w:r>
          </w:p>
        </w:tc>
        <w:tc>
          <w:tcPr>
            <w:tcW w:w="1291" w:type="dxa"/>
          </w:tcPr>
          <w:p w14:paraId="4AFEB507"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60,81%</w:t>
            </w:r>
          </w:p>
        </w:tc>
        <w:tc>
          <w:tcPr>
            <w:tcW w:w="1271" w:type="dxa"/>
          </w:tcPr>
          <w:p w14:paraId="2873B864"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7A75AEEA"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56%</w:t>
            </w:r>
          </w:p>
        </w:tc>
        <w:tc>
          <w:tcPr>
            <w:tcW w:w="1408" w:type="dxa"/>
          </w:tcPr>
          <w:p w14:paraId="0FC43801"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44%</w:t>
            </w:r>
          </w:p>
        </w:tc>
        <w:tc>
          <w:tcPr>
            <w:tcW w:w="1462" w:type="dxa"/>
          </w:tcPr>
          <w:p w14:paraId="75A52E8A"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5CF75C77" w14:textId="77777777" w:rsidR="00C44A3C" w:rsidRPr="006A77FC" w:rsidRDefault="00C44A3C" w:rsidP="00484A35">
            <w:pPr>
              <w:ind w:hanging="15"/>
              <w:jc w:val="center"/>
              <w:rPr>
                <w:rFonts w:ascii="Times New Roman" w:hAnsi="Times New Roman" w:cs="Times New Roman"/>
                <w:lang w:val="lv-LV"/>
              </w:rPr>
            </w:pPr>
            <w:r w:rsidRPr="006A77FC">
              <w:rPr>
                <w:rFonts w:ascii="Times New Roman" w:hAnsi="Times New Roman" w:cs="Times New Roman"/>
                <w:lang w:val="lv-LV"/>
              </w:rPr>
              <w:t>5,2</w:t>
            </w:r>
          </w:p>
        </w:tc>
      </w:tr>
      <w:tr w:rsidR="00C44A3C" w:rsidRPr="006A77FC" w14:paraId="04D20414" w14:textId="77777777" w:rsidTr="00484A35">
        <w:tc>
          <w:tcPr>
            <w:tcW w:w="1669" w:type="dxa"/>
          </w:tcPr>
          <w:p w14:paraId="4874239E" w14:textId="77777777" w:rsidR="00C44A3C" w:rsidRPr="006A77FC" w:rsidRDefault="00C44A3C" w:rsidP="00484A35">
            <w:pPr>
              <w:ind w:firstLine="38"/>
              <w:rPr>
                <w:rFonts w:ascii="Times New Roman" w:hAnsi="Times New Roman" w:cs="Times New Roman"/>
                <w:lang w:val="lv-LV"/>
              </w:rPr>
            </w:pPr>
            <w:r w:rsidRPr="006A77FC">
              <w:rPr>
                <w:rFonts w:ascii="Times New Roman" w:hAnsi="Times New Roman" w:cs="Times New Roman"/>
                <w:lang w:val="lv-LV"/>
              </w:rPr>
              <w:t>Angļu valoda</w:t>
            </w:r>
          </w:p>
        </w:tc>
        <w:tc>
          <w:tcPr>
            <w:tcW w:w="1291" w:type="dxa"/>
          </w:tcPr>
          <w:p w14:paraId="2A874FC6"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62,67%</w:t>
            </w:r>
          </w:p>
        </w:tc>
        <w:tc>
          <w:tcPr>
            <w:tcW w:w="1271" w:type="dxa"/>
          </w:tcPr>
          <w:p w14:paraId="240C1D92"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7FD73E2E"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66,66%</w:t>
            </w:r>
          </w:p>
        </w:tc>
        <w:tc>
          <w:tcPr>
            <w:tcW w:w="1408" w:type="dxa"/>
          </w:tcPr>
          <w:p w14:paraId="7F796A3C"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33,34%</w:t>
            </w:r>
          </w:p>
        </w:tc>
        <w:tc>
          <w:tcPr>
            <w:tcW w:w="1462" w:type="dxa"/>
          </w:tcPr>
          <w:p w14:paraId="6FED85FE"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063A4768" w14:textId="77777777" w:rsidR="00C44A3C" w:rsidRPr="006A77FC" w:rsidRDefault="00C44A3C" w:rsidP="00484A35">
            <w:pPr>
              <w:ind w:hanging="15"/>
              <w:jc w:val="center"/>
              <w:rPr>
                <w:rFonts w:ascii="Times New Roman" w:hAnsi="Times New Roman" w:cs="Times New Roman"/>
                <w:lang w:val="lv-LV"/>
              </w:rPr>
            </w:pPr>
            <w:r w:rsidRPr="006A77FC">
              <w:rPr>
                <w:rFonts w:ascii="Times New Roman" w:hAnsi="Times New Roman" w:cs="Times New Roman"/>
                <w:lang w:val="lv-LV"/>
              </w:rPr>
              <w:t>5,2</w:t>
            </w:r>
          </w:p>
        </w:tc>
      </w:tr>
      <w:tr w:rsidR="00C44A3C" w:rsidRPr="006A77FC" w14:paraId="31D14D9A" w14:textId="77777777" w:rsidTr="00484A35">
        <w:tc>
          <w:tcPr>
            <w:tcW w:w="1669" w:type="dxa"/>
          </w:tcPr>
          <w:p w14:paraId="07F31596" w14:textId="77777777" w:rsidR="00C44A3C" w:rsidRPr="006A77FC" w:rsidRDefault="00C44A3C" w:rsidP="00484A35">
            <w:pPr>
              <w:ind w:firstLine="38"/>
              <w:rPr>
                <w:rFonts w:ascii="Times New Roman" w:hAnsi="Times New Roman" w:cs="Times New Roman"/>
                <w:lang w:val="lv-LV"/>
              </w:rPr>
            </w:pPr>
            <w:r w:rsidRPr="006A77FC">
              <w:rPr>
                <w:rFonts w:ascii="Times New Roman" w:hAnsi="Times New Roman" w:cs="Times New Roman"/>
                <w:lang w:val="lv-LV"/>
              </w:rPr>
              <w:t>Krievu valoda</w:t>
            </w:r>
          </w:p>
        </w:tc>
        <w:tc>
          <w:tcPr>
            <w:tcW w:w="1291" w:type="dxa"/>
          </w:tcPr>
          <w:p w14:paraId="138FD650"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60,33%</w:t>
            </w:r>
          </w:p>
        </w:tc>
        <w:tc>
          <w:tcPr>
            <w:tcW w:w="1271" w:type="dxa"/>
          </w:tcPr>
          <w:p w14:paraId="101D8518"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5787AEE0"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66,67%</w:t>
            </w:r>
          </w:p>
        </w:tc>
        <w:tc>
          <w:tcPr>
            <w:tcW w:w="1408" w:type="dxa"/>
          </w:tcPr>
          <w:p w14:paraId="0B4CBA52"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16,67%</w:t>
            </w:r>
          </w:p>
        </w:tc>
        <w:tc>
          <w:tcPr>
            <w:tcW w:w="1462" w:type="dxa"/>
          </w:tcPr>
          <w:p w14:paraId="19948155"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16,67%</w:t>
            </w:r>
          </w:p>
        </w:tc>
        <w:tc>
          <w:tcPr>
            <w:tcW w:w="1683" w:type="dxa"/>
          </w:tcPr>
          <w:p w14:paraId="71324D6D" w14:textId="77777777" w:rsidR="00C44A3C" w:rsidRPr="006A77FC" w:rsidRDefault="00C44A3C" w:rsidP="00484A35">
            <w:pPr>
              <w:ind w:hanging="15"/>
              <w:jc w:val="center"/>
              <w:rPr>
                <w:rFonts w:ascii="Times New Roman" w:hAnsi="Times New Roman" w:cs="Times New Roman"/>
                <w:lang w:val="lv-LV"/>
              </w:rPr>
            </w:pPr>
            <w:r w:rsidRPr="006A77FC">
              <w:rPr>
                <w:rFonts w:ascii="Times New Roman" w:hAnsi="Times New Roman" w:cs="Times New Roman"/>
                <w:lang w:val="lv-LV"/>
              </w:rPr>
              <w:t>6</w:t>
            </w:r>
          </w:p>
        </w:tc>
      </w:tr>
      <w:tr w:rsidR="00C44A3C" w:rsidRPr="006A77FC" w14:paraId="5AB09B95" w14:textId="77777777" w:rsidTr="00484A35">
        <w:tc>
          <w:tcPr>
            <w:tcW w:w="1669" w:type="dxa"/>
          </w:tcPr>
          <w:p w14:paraId="459AE24A" w14:textId="77777777" w:rsidR="00C44A3C" w:rsidRPr="006A77FC" w:rsidRDefault="00C44A3C" w:rsidP="00484A35">
            <w:pPr>
              <w:ind w:firstLine="38"/>
              <w:rPr>
                <w:rFonts w:ascii="Times New Roman" w:hAnsi="Times New Roman" w:cs="Times New Roman"/>
                <w:lang w:val="lv-LV"/>
              </w:rPr>
            </w:pPr>
            <w:r w:rsidRPr="006A77FC">
              <w:rPr>
                <w:rFonts w:ascii="Times New Roman" w:hAnsi="Times New Roman" w:cs="Times New Roman"/>
                <w:lang w:val="lv-LV"/>
              </w:rPr>
              <w:t>Matemātika</w:t>
            </w:r>
          </w:p>
        </w:tc>
        <w:tc>
          <w:tcPr>
            <w:tcW w:w="1291" w:type="dxa"/>
          </w:tcPr>
          <w:p w14:paraId="61E80673"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51,56%</w:t>
            </w:r>
          </w:p>
        </w:tc>
        <w:tc>
          <w:tcPr>
            <w:tcW w:w="1271" w:type="dxa"/>
          </w:tcPr>
          <w:p w14:paraId="1D4C5441"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1448F95D"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56%</w:t>
            </w:r>
          </w:p>
        </w:tc>
        <w:tc>
          <w:tcPr>
            <w:tcW w:w="1408" w:type="dxa"/>
          </w:tcPr>
          <w:p w14:paraId="4E931DA8"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44%</w:t>
            </w:r>
          </w:p>
        </w:tc>
        <w:tc>
          <w:tcPr>
            <w:tcW w:w="1462" w:type="dxa"/>
          </w:tcPr>
          <w:p w14:paraId="7CE58AB2"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0D06D89C" w14:textId="77777777" w:rsidR="00C44A3C" w:rsidRPr="006A77FC" w:rsidRDefault="00C44A3C" w:rsidP="00484A35">
            <w:pPr>
              <w:ind w:hanging="15"/>
              <w:jc w:val="center"/>
              <w:rPr>
                <w:rFonts w:ascii="Times New Roman" w:hAnsi="Times New Roman" w:cs="Times New Roman"/>
                <w:lang w:val="lv-LV"/>
              </w:rPr>
            </w:pPr>
            <w:r w:rsidRPr="006A77FC">
              <w:rPr>
                <w:rFonts w:ascii="Times New Roman" w:hAnsi="Times New Roman" w:cs="Times New Roman"/>
                <w:lang w:val="lv-LV"/>
              </w:rPr>
              <w:t>4,9</w:t>
            </w:r>
          </w:p>
        </w:tc>
      </w:tr>
      <w:tr w:rsidR="00C44A3C" w:rsidRPr="006A77FC" w14:paraId="6BD7E1B0" w14:textId="77777777" w:rsidTr="00484A35">
        <w:tc>
          <w:tcPr>
            <w:tcW w:w="1669" w:type="dxa"/>
          </w:tcPr>
          <w:p w14:paraId="444D84D6" w14:textId="77777777" w:rsidR="00C44A3C" w:rsidRPr="006A77FC" w:rsidRDefault="00C44A3C" w:rsidP="00484A35">
            <w:pPr>
              <w:ind w:firstLine="38"/>
              <w:rPr>
                <w:rFonts w:ascii="Times New Roman" w:hAnsi="Times New Roman" w:cs="Times New Roman"/>
                <w:lang w:val="lv-LV"/>
              </w:rPr>
            </w:pPr>
            <w:r w:rsidRPr="006A77FC">
              <w:rPr>
                <w:rFonts w:ascii="Times New Roman" w:hAnsi="Times New Roman" w:cs="Times New Roman"/>
                <w:lang w:val="lv-LV"/>
              </w:rPr>
              <w:t>Latvijas vēsture</w:t>
            </w:r>
          </w:p>
        </w:tc>
        <w:tc>
          <w:tcPr>
            <w:tcW w:w="1291" w:type="dxa"/>
          </w:tcPr>
          <w:p w14:paraId="6CEDDA2F"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55,95%</w:t>
            </w:r>
          </w:p>
        </w:tc>
        <w:tc>
          <w:tcPr>
            <w:tcW w:w="1271" w:type="dxa"/>
          </w:tcPr>
          <w:p w14:paraId="7BD8321C"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300751E3"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67%</w:t>
            </w:r>
          </w:p>
        </w:tc>
        <w:tc>
          <w:tcPr>
            <w:tcW w:w="1408" w:type="dxa"/>
          </w:tcPr>
          <w:p w14:paraId="23DD32BB" w14:textId="77777777" w:rsidR="00C44A3C" w:rsidRPr="006A77FC" w:rsidRDefault="00C44A3C" w:rsidP="00484A35">
            <w:pPr>
              <w:ind w:firstLine="38"/>
              <w:jc w:val="center"/>
              <w:rPr>
                <w:rFonts w:ascii="Times New Roman" w:hAnsi="Times New Roman" w:cs="Times New Roman"/>
                <w:lang w:val="lv-LV"/>
              </w:rPr>
            </w:pPr>
            <w:r w:rsidRPr="006A77FC">
              <w:rPr>
                <w:rFonts w:ascii="Times New Roman" w:hAnsi="Times New Roman" w:cs="Times New Roman"/>
                <w:lang w:val="lv-LV"/>
              </w:rPr>
              <w:t>33%</w:t>
            </w:r>
          </w:p>
        </w:tc>
        <w:tc>
          <w:tcPr>
            <w:tcW w:w="1462" w:type="dxa"/>
          </w:tcPr>
          <w:p w14:paraId="77EFEB6C" w14:textId="77777777" w:rsidR="00C44A3C" w:rsidRPr="006A77FC" w:rsidRDefault="00C44A3C" w:rsidP="00484A35">
            <w:pPr>
              <w:ind w:firstLine="567"/>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4A2796FA" w14:textId="77777777" w:rsidR="00C44A3C" w:rsidRPr="006A77FC" w:rsidRDefault="00C44A3C" w:rsidP="00484A35">
            <w:pPr>
              <w:ind w:hanging="15"/>
              <w:jc w:val="center"/>
              <w:rPr>
                <w:rFonts w:ascii="Times New Roman" w:hAnsi="Times New Roman" w:cs="Times New Roman"/>
                <w:lang w:val="lv-LV"/>
              </w:rPr>
            </w:pPr>
            <w:r w:rsidRPr="006A77FC">
              <w:rPr>
                <w:rFonts w:ascii="Times New Roman" w:hAnsi="Times New Roman" w:cs="Times New Roman"/>
                <w:lang w:val="lv-LV"/>
              </w:rPr>
              <w:t>5,89</w:t>
            </w:r>
          </w:p>
        </w:tc>
      </w:tr>
    </w:tbl>
    <w:p w14:paraId="53FA1A37" w14:textId="77777777" w:rsidR="00C44A3C" w:rsidRPr="006A77FC" w:rsidRDefault="00C44A3C" w:rsidP="00C44A3C">
      <w:pPr>
        <w:spacing w:after="0" w:line="240" w:lineRule="auto"/>
        <w:ind w:firstLine="567"/>
        <w:rPr>
          <w:rFonts w:ascii="Times New Roman" w:hAnsi="Times New Roman" w:cs="Times New Roman"/>
          <w:lang w:val="lv-LV"/>
        </w:rPr>
      </w:pPr>
    </w:p>
    <w:p w14:paraId="3CCCA4CB" w14:textId="77777777" w:rsidR="00C44A3C" w:rsidRDefault="00C44A3C" w:rsidP="00C44A3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Salīdzinot valsts pārbaudes darbu rezultātus skolā ar rezultātiem valstī, secinām, ka tie ir zemāki visos mācību priekšmetos. Lielāka diference ir svešvalodās un Latvijas vēsturē.</w:t>
      </w:r>
    </w:p>
    <w:p w14:paraId="11DAE068" w14:textId="77777777" w:rsidR="00C44A3C" w:rsidRDefault="00C44A3C" w:rsidP="00C44A3C">
      <w:pPr>
        <w:spacing w:after="0" w:line="240" w:lineRule="auto"/>
        <w:ind w:firstLine="567"/>
        <w:jc w:val="both"/>
        <w:rPr>
          <w:rFonts w:ascii="Times New Roman" w:hAnsi="Times New Roman" w:cs="Times New Roman"/>
          <w:sz w:val="24"/>
          <w:szCs w:val="24"/>
          <w:lang w:val="lv-LV"/>
        </w:rPr>
      </w:pPr>
      <w:r w:rsidRPr="006A77FC">
        <w:rPr>
          <w:rFonts w:ascii="Times New Roman" w:hAnsi="Times New Roman" w:cs="Times New Roman"/>
          <w:sz w:val="24"/>
          <w:szCs w:val="24"/>
          <w:lang w:val="lv-LV"/>
        </w:rPr>
        <w:t xml:space="preserve">Valsts pārbaudes darbu </w:t>
      </w:r>
      <w:r>
        <w:rPr>
          <w:rFonts w:ascii="Times New Roman" w:hAnsi="Times New Roman" w:cs="Times New Roman"/>
          <w:sz w:val="24"/>
          <w:szCs w:val="24"/>
          <w:lang w:val="lv-LV"/>
        </w:rPr>
        <w:t xml:space="preserve">rezultatīvajam rādītājam nav būtiskas atšķirības no klases gada vērtējumiem, dažos pat augstāks. Tas ļauj secināt, ka izglītojamo ikdienas vērtējumi ir objektīvi. Skolas uzdevums – paaugstināt matemātikas un Latvijas vēstures rezultatīvo sniegumu. </w:t>
      </w:r>
    </w:p>
    <w:p w14:paraId="14DFB566" w14:textId="619FA23D" w:rsidR="00C44A3C" w:rsidRDefault="00C44A3C" w:rsidP="00C44A3C">
      <w:pPr>
        <w:spacing w:after="0" w:line="240" w:lineRule="auto"/>
        <w:ind w:firstLine="567"/>
        <w:jc w:val="both"/>
        <w:rPr>
          <w:rFonts w:ascii="Times New Roman" w:hAnsi="Times New Roman" w:cs="Times New Roman"/>
          <w:sz w:val="24"/>
          <w:szCs w:val="24"/>
          <w:lang w:val="lv-LV"/>
        </w:rPr>
      </w:pPr>
      <w:r w:rsidRPr="00A82E29">
        <w:rPr>
          <w:rFonts w:ascii="Times New Roman" w:hAnsi="Times New Roman" w:cs="Times New Roman"/>
          <w:sz w:val="24"/>
          <w:szCs w:val="24"/>
          <w:lang w:val="lv-LV"/>
        </w:rPr>
        <w:t>2019./2020.m.g. un 2020./2021.m.g. valsts pārbaudes darbi nenotiek.</w:t>
      </w:r>
    </w:p>
    <w:p w14:paraId="441FF658" w14:textId="193A754C" w:rsidR="009B2EC1" w:rsidRDefault="009B2EC1" w:rsidP="00C44A3C">
      <w:pPr>
        <w:spacing w:after="0" w:line="240" w:lineRule="auto"/>
        <w:ind w:firstLine="567"/>
        <w:jc w:val="both"/>
        <w:rPr>
          <w:rFonts w:ascii="Times New Roman" w:hAnsi="Times New Roman" w:cs="Times New Roman"/>
          <w:sz w:val="24"/>
          <w:szCs w:val="24"/>
          <w:lang w:val="lv-LV"/>
        </w:rPr>
      </w:pPr>
    </w:p>
    <w:p w14:paraId="72B2AA97" w14:textId="4B4755B8" w:rsidR="009B2EC1" w:rsidRDefault="009B2EC1" w:rsidP="00C44A3C">
      <w:pPr>
        <w:spacing w:after="0" w:line="240" w:lineRule="auto"/>
        <w:ind w:firstLine="567"/>
        <w:jc w:val="both"/>
        <w:rPr>
          <w:rFonts w:ascii="Times New Roman" w:hAnsi="Times New Roman" w:cs="Times New Roman"/>
          <w:sz w:val="24"/>
          <w:szCs w:val="24"/>
          <w:lang w:val="lv-LV"/>
        </w:rPr>
      </w:pPr>
    </w:p>
    <w:p w14:paraId="0AB05F38" w14:textId="2B41A5FC" w:rsidR="009B2EC1" w:rsidRDefault="009B2EC1" w:rsidP="00C44A3C">
      <w:pPr>
        <w:spacing w:after="0" w:line="240" w:lineRule="auto"/>
        <w:ind w:firstLine="567"/>
        <w:jc w:val="both"/>
        <w:rPr>
          <w:rFonts w:ascii="Times New Roman" w:hAnsi="Times New Roman" w:cs="Times New Roman"/>
          <w:sz w:val="24"/>
          <w:szCs w:val="24"/>
          <w:lang w:val="lv-LV"/>
        </w:rPr>
      </w:pPr>
    </w:p>
    <w:p w14:paraId="108988B2" w14:textId="074DC778" w:rsidR="009B2EC1" w:rsidRDefault="009B2EC1" w:rsidP="00C44A3C">
      <w:pPr>
        <w:spacing w:after="0" w:line="240" w:lineRule="auto"/>
        <w:ind w:firstLine="567"/>
        <w:jc w:val="both"/>
        <w:rPr>
          <w:rFonts w:ascii="Times New Roman" w:hAnsi="Times New Roman" w:cs="Times New Roman"/>
          <w:sz w:val="24"/>
          <w:szCs w:val="24"/>
          <w:lang w:val="lv-LV"/>
        </w:rPr>
      </w:pPr>
    </w:p>
    <w:p w14:paraId="4DE9FFEA" w14:textId="250B8C20" w:rsidR="009B2EC1" w:rsidRDefault="009B2EC1" w:rsidP="00C44A3C">
      <w:pPr>
        <w:spacing w:after="0" w:line="240" w:lineRule="auto"/>
        <w:ind w:firstLine="567"/>
        <w:jc w:val="both"/>
        <w:rPr>
          <w:rFonts w:ascii="Times New Roman" w:hAnsi="Times New Roman" w:cs="Times New Roman"/>
          <w:sz w:val="24"/>
          <w:szCs w:val="24"/>
          <w:lang w:val="lv-LV"/>
        </w:rPr>
      </w:pPr>
    </w:p>
    <w:p w14:paraId="470B727A" w14:textId="1D339DC5" w:rsidR="009B2EC1" w:rsidRDefault="009B2EC1" w:rsidP="00C44A3C">
      <w:pPr>
        <w:spacing w:after="0" w:line="240" w:lineRule="auto"/>
        <w:ind w:firstLine="567"/>
        <w:jc w:val="both"/>
        <w:rPr>
          <w:rFonts w:ascii="Times New Roman" w:hAnsi="Times New Roman" w:cs="Times New Roman"/>
          <w:sz w:val="24"/>
          <w:szCs w:val="24"/>
          <w:lang w:val="lv-LV"/>
        </w:rPr>
      </w:pPr>
    </w:p>
    <w:p w14:paraId="6038542C" w14:textId="6C02125E" w:rsidR="009B2EC1" w:rsidRDefault="009B2EC1" w:rsidP="00C44A3C">
      <w:pPr>
        <w:spacing w:after="0" w:line="240" w:lineRule="auto"/>
        <w:ind w:firstLine="567"/>
        <w:jc w:val="both"/>
        <w:rPr>
          <w:rFonts w:ascii="Times New Roman" w:hAnsi="Times New Roman" w:cs="Times New Roman"/>
          <w:sz w:val="24"/>
          <w:szCs w:val="24"/>
          <w:lang w:val="lv-LV"/>
        </w:rPr>
      </w:pPr>
    </w:p>
    <w:p w14:paraId="6BE8EB31" w14:textId="77777777" w:rsidR="00886FA1" w:rsidRDefault="00886FA1" w:rsidP="00886FA1">
      <w:pPr>
        <w:shd w:val="clear" w:color="auto" w:fill="FFFFFF"/>
        <w:spacing w:after="0" w:line="240" w:lineRule="auto"/>
        <w:ind w:firstLine="300"/>
        <w:rPr>
          <w:rFonts w:ascii="Times New Roman" w:eastAsia="Times New Roman" w:hAnsi="Times New Roman" w:cs="Times New Roman"/>
          <w:sz w:val="24"/>
          <w:szCs w:val="24"/>
          <w:lang w:val="lv-LV"/>
        </w:rPr>
      </w:pPr>
    </w:p>
    <w:p w14:paraId="6193B341" w14:textId="759924DB" w:rsidR="00886FA1" w:rsidRDefault="00886FA1" w:rsidP="00886FA1">
      <w:pPr>
        <w:shd w:val="clear" w:color="auto" w:fill="FFFFFF"/>
        <w:spacing w:after="0" w:line="240" w:lineRule="auto"/>
        <w:ind w:firstLine="30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Bejas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pamatskolas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direktore</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Silvija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Aizupe</w:t>
      </w:r>
      <w:proofErr w:type="spellEnd"/>
    </w:p>
    <w:p w14:paraId="7A50B993" w14:textId="77777777" w:rsidR="00886FA1" w:rsidRDefault="00886FA1" w:rsidP="00886FA1">
      <w:pPr>
        <w:shd w:val="clear" w:color="auto" w:fill="FFFFFF"/>
        <w:spacing w:after="0" w:line="240" w:lineRule="auto"/>
        <w:ind w:firstLine="300"/>
        <w:rPr>
          <w:rFonts w:ascii="Times New Roman" w:eastAsia="Times New Roman" w:hAnsi="Times New Roman" w:cs="Times New Roman"/>
          <w:sz w:val="20"/>
          <w:szCs w:val="20"/>
        </w:rPr>
      </w:pPr>
      <w:r>
        <w:rPr>
          <w:rFonts w:ascii="Times New Roman" w:eastAsia="Times New Roman" w:hAnsi="Times New Roman" w:cs="Times New Roman"/>
          <w:sz w:val="20"/>
          <w:szCs w:val="20"/>
        </w:rPr>
        <w:t>e-pasts: skola.beja@aluksne.lv</w:t>
      </w:r>
    </w:p>
    <w:p w14:paraId="05EC2B00" w14:textId="77777777" w:rsidR="00886FA1" w:rsidRDefault="00886FA1" w:rsidP="00886FA1">
      <w:pPr>
        <w:shd w:val="clear" w:color="auto" w:fill="FFFFFF"/>
        <w:spacing w:after="0" w:line="240" w:lineRule="auto"/>
        <w:ind w:firstLine="300"/>
        <w:rPr>
          <w:rFonts w:ascii="Arial" w:eastAsia="Times New Roman" w:hAnsi="Arial" w:cs="Arial"/>
          <w:sz w:val="20"/>
          <w:szCs w:val="20"/>
        </w:rPr>
      </w:pPr>
      <w:proofErr w:type="spellStart"/>
      <w:r>
        <w:rPr>
          <w:rFonts w:ascii="Arial" w:eastAsia="Times New Roman" w:hAnsi="Arial" w:cs="Arial"/>
          <w:sz w:val="20"/>
          <w:szCs w:val="20"/>
        </w:rPr>
        <w:t>Tālr</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t>371 25664429</w:t>
      </w:r>
    </w:p>
    <w:p w14:paraId="503A565F" w14:textId="77777777" w:rsidR="00886FA1" w:rsidRDefault="00886FA1" w:rsidP="00886FA1">
      <w:pPr>
        <w:spacing w:after="0" w:line="240" w:lineRule="auto"/>
        <w:rPr>
          <w:rFonts w:ascii="Times New Roman" w:hAnsi="Times New Roman" w:cs="Times New Roman"/>
          <w:sz w:val="32"/>
          <w:szCs w:val="32"/>
          <w:lang w:val="lv-LV"/>
        </w:rPr>
      </w:pPr>
    </w:p>
    <w:p w14:paraId="69105D44" w14:textId="77777777" w:rsidR="00886FA1" w:rsidRDefault="00886FA1" w:rsidP="00886FA1">
      <w:pPr>
        <w:spacing w:after="0" w:line="240" w:lineRule="auto"/>
        <w:jc w:val="center"/>
      </w:pPr>
    </w:p>
    <w:p w14:paraId="33D6E2FA" w14:textId="77777777" w:rsidR="00886FA1" w:rsidRDefault="00886FA1" w:rsidP="00886FA1">
      <w:pPr>
        <w:spacing w:after="0" w:line="240" w:lineRule="auto"/>
        <w:jc w:val="center"/>
      </w:pPr>
    </w:p>
    <w:p w14:paraId="55CE7287" w14:textId="77777777" w:rsidR="00886FA1" w:rsidRDefault="00886FA1" w:rsidP="00886FA1">
      <w:pPr>
        <w:spacing w:after="0" w:line="240" w:lineRule="auto"/>
        <w:jc w:val="center"/>
      </w:pPr>
    </w:p>
    <w:p w14:paraId="633F9EAB" w14:textId="74617727" w:rsidR="003A0EE6" w:rsidRPr="00166882" w:rsidRDefault="00886FA1" w:rsidP="00886FA1">
      <w:pPr>
        <w:spacing w:after="0" w:line="240" w:lineRule="auto"/>
        <w:jc w:val="center"/>
        <w:rPr>
          <w:rFonts w:ascii="Times New Roman" w:hAnsi="Times New Roman" w:cs="Times New Roman"/>
          <w:sz w:val="32"/>
          <w:szCs w:val="32"/>
          <w:lang w:val="lv-LV"/>
        </w:rPr>
      </w:pPr>
      <w:r>
        <w:t>DOKUMENTS IR ELEKTRONISKI PARAKSTĪTS AR DROŠU ELEKTRONISKO PARAKSTU UN SATUR LAIKA ZĪMOGU</w:t>
      </w:r>
    </w:p>
    <w:sectPr w:rsidR="003A0EE6" w:rsidRPr="00166882" w:rsidSect="009B2EC1">
      <w:footerReference w:type="default" r:id="rId8"/>
      <w:pgSz w:w="12240" w:h="15840"/>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E367" w14:textId="77777777" w:rsidR="00E07EA8" w:rsidRDefault="00E07EA8" w:rsidP="00842F05">
      <w:pPr>
        <w:spacing w:after="0" w:line="240" w:lineRule="auto"/>
      </w:pPr>
      <w:r>
        <w:separator/>
      </w:r>
    </w:p>
  </w:endnote>
  <w:endnote w:type="continuationSeparator" w:id="0">
    <w:p w14:paraId="61932F2E" w14:textId="77777777" w:rsidR="00E07EA8" w:rsidRDefault="00E07EA8" w:rsidP="008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334812"/>
      <w:docPartObj>
        <w:docPartGallery w:val="Page Numbers (Bottom of Page)"/>
        <w:docPartUnique/>
      </w:docPartObj>
    </w:sdtPr>
    <w:sdtContent>
      <w:p w14:paraId="36745C4E" w14:textId="6149B5FB" w:rsidR="00DB0809" w:rsidRDefault="00DB0809">
        <w:pPr>
          <w:pStyle w:val="Kjene"/>
          <w:jc w:val="center"/>
        </w:pPr>
        <w:r>
          <w:fldChar w:fldCharType="begin"/>
        </w:r>
        <w:r>
          <w:instrText>PAGE   \* MERGEFORMAT</w:instrText>
        </w:r>
        <w:r>
          <w:fldChar w:fldCharType="separate"/>
        </w:r>
        <w:r>
          <w:rPr>
            <w:lang w:val="lv-LV"/>
          </w:rPr>
          <w:t>2</w:t>
        </w:r>
        <w:r>
          <w:fldChar w:fldCharType="end"/>
        </w:r>
      </w:p>
    </w:sdtContent>
  </w:sdt>
  <w:p w14:paraId="61E47FAC" w14:textId="77777777" w:rsidR="00DB0809" w:rsidRDefault="00DB080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7038" w14:textId="77777777" w:rsidR="00E07EA8" w:rsidRDefault="00E07EA8" w:rsidP="00842F05">
      <w:pPr>
        <w:spacing w:after="0" w:line="240" w:lineRule="auto"/>
      </w:pPr>
      <w:r>
        <w:separator/>
      </w:r>
    </w:p>
  </w:footnote>
  <w:footnote w:type="continuationSeparator" w:id="0">
    <w:p w14:paraId="55FEA17D" w14:textId="77777777" w:rsidR="00E07EA8" w:rsidRDefault="00E07EA8" w:rsidP="00842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96E77"/>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53D3432"/>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B5C59"/>
    <w:multiLevelType w:val="hybridMultilevel"/>
    <w:tmpl w:val="5D2CC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4"/>
  </w:num>
  <w:num w:numId="5">
    <w:abstractNumId w:val="2"/>
  </w:num>
  <w:num w:numId="6">
    <w:abstractNumId w:val="26"/>
  </w:num>
  <w:num w:numId="7">
    <w:abstractNumId w:val="28"/>
  </w:num>
  <w:num w:numId="8">
    <w:abstractNumId w:val="5"/>
  </w:num>
  <w:num w:numId="9">
    <w:abstractNumId w:val="15"/>
  </w:num>
  <w:num w:numId="10">
    <w:abstractNumId w:val="20"/>
  </w:num>
  <w:num w:numId="11">
    <w:abstractNumId w:val="6"/>
  </w:num>
  <w:num w:numId="12">
    <w:abstractNumId w:val="14"/>
  </w:num>
  <w:num w:numId="13">
    <w:abstractNumId w:val="29"/>
  </w:num>
  <w:num w:numId="14">
    <w:abstractNumId w:val="12"/>
  </w:num>
  <w:num w:numId="15">
    <w:abstractNumId w:val="22"/>
  </w:num>
  <w:num w:numId="16">
    <w:abstractNumId w:val="0"/>
  </w:num>
  <w:num w:numId="17">
    <w:abstractNumId w:val="8"/>
  </w:num>
  <w:num w:numId="18">
    <w:abstractNumId w:val="13"/>
  </w:num>
  <w:num w:numId="19">
    <w:abstractNumId w:val="25"/>
  </w:num>
  <w:num w:numId="20">
    <w:abstractNumId w:val="11"/>
  </w:num>
  <w:num w:numId="21">
    <w:abstractNumId w:val="23"/>
  </w:num>
  <w:num w:numId="22">
    <w:abstractNumId w:val="10"/>
  </w:num>
  <w:num w:numId="23">
    <w:abstractNumId w:val="24"/>
  </w:num>
  <w:num w:numId="24">
    <w:abstractNumId w:val="7"/>
  </w:num>
  <w:num w:numId="25">
    <w:abstractNumId w:val="9"/>
  </w:num>
  <w:num w:numId="26">
    <w:abstractNumId w:val="17"/>
  </w:num>
  <w:num w:numId="27">
    <w:abstractNumId w:val="27"/>
  </w:num>
  <w:num w:numId="28">
    <w:abstractNumId w:val="1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03660"/>
    <w:rsid w:val="00010459"/>
    <w:rsid w:val="00013A4B"/>
    <w:rsid w:val="00013AA3"/>
    <w:rsid w:val="0002296F"/>
    <w:rsid w:val="00025BFD"/>
    <w:rsid w:val="00027A04"/>
    <w:rsid w:val="00040AE9"/>
    <w:rsid w:val="000419EE"/>
    <w:rsid w:val="00047C6A"/>
    <w:rsid w:val="00051FD6"/>
    <w:rsid w:val="00056E8E"/>
    <w:rsid w:val="00061A05"/>
    <w:rsid w:val="000632B9"/>
    <w:rsid w:val="000641BF"/>
    <w:rsid w:val="00077DCB"/>
    <w:rsid w:val="00084663"/>
    <w:rsid w:val="00092655"/>
    <w:rsid w:val="00095496"/>
    <w:rsid w:val="00096403"/>
    <w:rsid w:val="000A723A"/>
    <w:rsid w:val="000B2163"/>
    <w:rsid w:val="000C1F1C"/>
    <w:rsid w:val="000C782B"/>
    <w:rsid w:val="000E073D"/>
    <w:rsid w:val="000E24AE"/>
    <w:rsid w:val="000E2EA0"/>
    <w:rsid w:val="000E4DCC"/>
    <w:rsid w:val="000E50EA"/>
    <w:rsid w:val="000E5C1A"/>
    <w:rsid w:val="000E7559"/>
    <w:rsid w:val="000E77F5"/>
    <w:rsid w:val="000F17F7"/>
    <w:rsid w:val="000F2F17"/>
    <w:rsid w:val="000F308C"/>
    <w:rsid w:val="000F4CAC"/>
    <w:rsid w:val="00102C06"/>
    <w:rsid w:val="00111130"/>
    <w:rsid w:val="001118D1"/>
    <w:rsid w:val="00127FC5"/>
    <w:rsid w:val="00132C7C"/>
    <w:rsid w:val="00151726"/>
    <w:rsid w:val="001530E7"/>
    <w:rsid w:val="00156668"/>
    <w:rsid w:val="00156D33"/>
    <w:rsid w:val="00166882"/>
    <w:rsid w:val="00180811"/>
    <w:rsid w:val="00182300"/>
    <w:rsid w:val="00183002"/>
    <w:rsid w:val="00193065"/>
    <w:rsid w:val="00194A51"/>
    <w:rsid w:val="001A379E"/>
    <w:rsid w:val="001B70B8"/>
    <w:rsid w:val="001C3E07"/>
    <w:rsid w:val="001D1B19"/>
    <w:rsid w:val="001D254A"/>
    <w:rsid w:val="001E6B87"/>
    <w:rsid w:val="001F7A5F"/>
    <w:rsid w:val="002012AE"/>
    <w:rsid w:val="00203C3B"/>
    <w:rsid w:val="00211FF7"/>
    <w:rsid w:val="00213431"/>
    <w:rsid w:val="00220E4C"/>
    <w:rsid w:val="00224655"/>
    <w:rsid w:val="002257DF"/>
    <w:rsid w:val="00240419"/>
    <w:rsid w:val="0024064E"/>
    <w:rsid w:val="0024070C"/>
    <w:rsid w:val="0024249D"/>
    <w:rsid w:val="00246372"/>
    <w:rsid w:val="0027075B"/>
    <w:rsid w:val="00271256"/>
    <w:rsid w:val="00276381"/>
    <w:rsid w:val="002818B5"/>
    <w:rsid w:val="002855C1"/>
    <w:rsid w:val="002924BD"/>
    <w:rsid w:val="00294EF4"/>
    <w:rsid w:val="002A3939"/>
    <w:rsid w:val="002C6C67"/>
    <w:rsid w:val="002C7D08"/>
    <w:rsid w:val="002D3D4D"/>
    <w:rsid w:val="002E460E"/>
    <w:rsid w:val="002F21A6"/>
    <w:rsid w:val="002F7891"/>
    <w:rsid w:val="002F7971"/>
    <w:rsid w:val="003042C4"/>
    <w:rsid w:val="00305FA6"/>
    <w:rsid w:val="003101DC"/>
    <w:rsid w:val="003163E9"/>
    <w:rsid w:val="003305F0"/>
    <w:rsid w:val="00330EDD"/>
    <w:rsid w:val="003322AB"/>
    <w:rsid w:val="003348FF"/>
    <w:rsid w:val="00340C2D"/>
    <w:rsid w:val="00341CE9"/>
    <w:rsid w:val="003436DD"/>
    <w:rsid w:val="00343B93"/>
    <w:rsid w:val="00353FFE"/>
    <w:rsid w:val="00361DAF"/>
    <w:rsid w:val="00373CA0"/>
    <w:rsid w:val="00381A44"/>
    <w:rsid w:val="0038576E"/>
    <w:rsid w:val="00397C12"/>
    <w:rsid w:val="003A0EE6"/>
    <w:rsid w:val="003D1D00"/>
    <w:rsid w:val="003D2BBC"/>
    <w:rsid w:val="003E7727"/>
    <w:rsid w:val="003F55C0"/>
    <w:rsid w:val="00401603"/>
    <w:rsid w:val="00410F11"/>
    <w:rsid w:val="00411161"/>
    <w:rsid w:val="00411908"/>
    <w:rsid w:val="00412AB1"/>
    <w:rsid w:val="00423B4A"/>
    <w:rsid w:val="00425C76"/>
    <w:rsid w:val="0043375D"/>
    <w:rsid w:val="00433CEA"/>
    <w:rsid w:val="00433ED0"/>
    <w:rsid w:val="0044153C"/>
    <w:rsid w:val="00441FCE"/>
    <w:rsid w:val="00446618"/>
    <w:rsid w:val="00451C28"/>
    <w:rsid w:val="00460B99"/>
    <w:rsid w:val="00460D1A"/>
    <w:rsid w:val="004742CF"/>
    <w:rsid w:val="00482A47"/>
    <w:rsid w:val="0048357A"/>
    <w:rsid w:val="00484A35"/>
    <w:rsid w:val="00494F1B"/>
    <w:rsid w:val="004A58A4"/>
    <w:rsid w:val="004A67A7"/>
    <w:rsid w:val="004B20B0"/>
    <w:rsid w:val="004B78E0"/>
    <w:rsid w:val="004C2024"/>
    <w:rsid w:val="004C5563"/>
    <w:rsid w:val="004C5AFC"/>
    <w:rsid w:val="004D734E"/>
    <w:rsid w:val="004E3A07"/>
    <w:rsid w:val="004E5357"/>
    <w:rsid w:val="004F15E9"/>
    <w:rsid w:val="005025B8"/>
    <w:rsid w:val="00507250"/>
    <w:rsid w:val="00520BEF"/>
    <w:rsid w:val="0052561E"/>
    <w:rsid w:val="00527F73"/>
    <w:rsid w:val="00530BBE"/>
    <w:rsid w:val="00531A5C"/>
    <w:rsid w:val="005426CF"/>
    <w:rsid w:val="00543DF9"/>
    <w:rsid w:val="005467E7"/>
    <w:rsid w:val="0055362A"/>
    <w:rsid w:val="0055441A"/>
    <w:rsid w:val="0055445C"/>
    <w:rsid w:val="00555339"/>
    <w:rsid w:val="00556A21"/>
    <w:rsid w:val="00560FF7"/>
    <w:rsid w:val="0056669C"/>
    <w:rsid w:val="005748AF"/>
    <w:rsid w:val="00586834"/>
    <w:rsid w:val="005879BF"/>
    <w:rsid w:val="00595FDB"/>
    <w:rsid w:val="005A43EB"/>
    <w:rsid w:val="005B099B"/>
    <w:rsid w:val="005B3385"/>
    <w:rsid w:val="005B51F1"/>
    <w:rsid w:val="005C3375"/>
    <w:rsid w:val="005C383A"/>
    <w:rsid w:val="005C598E"/>
    <w:rsid w:val="005E19F8"/>
    <w:rsid w:val="005E2D32"/>
    <w:rsid w:val="005F0EE9"/>
    <w:rsid w:val="005F5503"/>
    <w:rsid w:val="005F7585"/>
    <w:rsid w:val="006039D2"/>
    <w:rsid w:val="00605AE7"/>
    <w:rsid w:val="00617DED"/>
    <w:rsid w:val="00635517"/>
    <w:rsid w:val="0063596A"/>
    <w:rsid w:val="00636C79"/>
    <w:rsid w:val="00637A12"/>
    <w:rsid w:val="00642D79"/>
    <w:rsid w:val="00646B96"/>
    <w:rsid w:val="006515E1"/>
    <w:rsid w:val="006535F3"/>
    <w:rsid w:val="00655829"/>
    <w:rsid w:val="006576D5"/>
    <w:rsid w:val="0066014E"/>
    <w:rsid w:val="00663FA8"/>
    <w:rsid w:val="0068775C"/>
    <w:rsid w:val="00693ACC"/>
    <w:rsid w:val="00694129"/>
    <w:rsid w:val="00696ABF"/>
    <w:rsid w:val="006A545F"/>
    <w:rsid w:val="006A55A9"/>
    <w:rsid w:val="006D0E2A"/>
    <w:rsid w:val="006E310D"/>
    <w:rsid w:val="006E3A9D"/>
    <w:rsid w:val="006E4DA5"/>
    <w:rsid w:val="006F4ED1"/>
    <w:rsid w:val="00702310"/>
    <w:rsid w:val="007035B2"/>
    <w:rsid w:val="00717240"/>
    <w:rsid w:val="0072076A"/>
    <w:rsid w:val="007212D4"/>
    <w:rsid w:val="00721B3E"/>
    <w:rsid w:val="00733D05"/>
    <w:rsid w:val="0073401D"/>
    <w:rsid w:val="00745C4B"/>
    <w:rsid w:val="00753D20"/>
    <w:rsid w:val="00755AFF"/>
    <w:rsid w:val="007572D5"/>
    <w:rsid w:val="00764334"/>
    <w:rsid w:val="00770502"/>
    <w:rsid w:val="007723AD"/>
    <w:rsid w:val="00772E81"/>
    <w:rsid w:val="00775B03"/>
    <w:rsid w:val="0077688A"/>
    <w:rsid w:val="0078315A"/>
    <w:rsid w:val="007838C7"/>
    <w:rsid w:val="00786FBF"/>
    <w:rsid w:val="007A7011"/>
    <w:rsid w:val="007B086E"/>
    <w:rsid w:val="007C5F5F"/>
    <w:rsid w:val="007D073A"/>
    <w:rsid w:val="007D3F6A"/>
    <w:rsid w:val="007D45AF"/>
    <w:rsid w:val="007D6C85"/>
    <w:rsid w:val="007E18C8"/>
    <w:rsid w:val="007E6738"/>
    <w:rsid w:val="007F020F"/>
    <w:rsid w:val="007F1CE3"/>
    <w:rsid w:val="00802097"/>
    <w:rsid w:val="008138FD"/>
    <w:rsid w:val="00820179"/>
    <w:rsid w:val="00826F6C"/>
    <w:rsid w:val="00833978"/>
    <w:rsid w:val="0084163D"/>
    <w:rsid w:val="00842F05"/>
    <w:rsid w:val="008450DC"/>
    <w:rsid w:val="008459F6"/>
    <w:rsid w:val="008477FF"/>
    <w:rsid w:val="00852E2B"/>
    <w:rsid w:val="0087194D"/>
    <w:rsid w:val="008801DB"/>
    <w:rsid w:val="0088121F"/>
    <w:rsid w:val="008853F4"/>
    <w:rsid w:val="00886FA1"/>
    <w:rsid w:val="008924E5"/>
    <w:rsid w:val="00892634"/>
    <w:rsid w:val="008933AE"/>
    <w:rsid w:val="0089440B"/>
    <w:rsid w:val="00896727"/>
    <w:rsid w:val="00896A4E"/>
    <w:rsid w:val="008A35C8"/>
    <w:rsid w:val="008A3B5E"/>
    <w:rsid w:val="008A6A8E"/>
    <w:rsid w:val="008E0579"/>
    <w:rsid w:val="008F43EF"/>
    <w:rsid w:val="00904310"/>
    <w:rsid w:val="0090469F"/>
    <w:rsid w:val="00917E23"/>
    <w:rsid w:val="00934174"/>
    <w:rsid w:val="0094576B"/>
    <w:rsid w:val="00946596"/>
    <w:rsid w:val="0095033A"/>
    <w:rsid w:val="00950E5D"/>
    <w:rsid w:val="00954D73"/>
    <w:rsid w:val="00971A93"/>
    <w:rsid w:val="009732C3"/>
    <w:rsid w:val="009772B1"/>
    <w:rsid w:val="00982CF2"/>
    <w:rsid w:val="0098380E"/>
    <w:rsid w:val="00985812"/>
    <w:rsid w:val="00985AE4"/>
    <w:rsid w:val="009A0F3B"/>
    <w:rsid w:val="009B024A"/>
    <w:rsid w:val="009B1634"/>
    <w:rsid w:val="009B2EC1"/>
    <w:rsid w:val="009B7B1A"/>
    <w:rsid w:val="009E608F"/>
    <w:rsid w:val="009F30B0"/>
    <w:rsid w:val="009F615F"/>
    <w:rsid w:val="00A03D44"/>
    <w:rsid w:val="00A04CFF"/>
    <w:rsid w:val="00A10ED7"/>
    <w:rsid w:val="00A14D39"/>
    <w:rsid w:val="00A15B88"/>
    <w:rsid w:val="00A17989"/>
    <w:rsid w:val="00A2670A"/>
    <w:rsid w:val="00A27528"/>
    <w:rsid w:val="00A32718"/>
    <w:rsid w:val="00A3599A"/>
    <w:rsid w:val="00A6265C"/>
    <w:rsid w:val="00A63B5C"/>
    <w:rsid w:val="00A70069"/>
    <w:rsid w:val="00A777FF"/>
    <w:rsid w:val="00A87EED"/>
    <w:rsid w:val="00A94A88"/>
    <w:rsid w:val="00A95B9E"/>
    <w:rsid w:val="00AA08AB"/>
    <w:rsid w:val="00AB1AF6"/>
    <w:rsid w:val="00AB25C8"/>
    <w:rsid w:val="00AB34C6"/>
    <w:rsid w:val="00AB51D6"/>
    <w:rsid w:val="00AB730A"/>
    <w:rsid w:val="00AC0872"/>
    <w:rsid w:val="00AC6569"/>
    <w:rsid w:val="00AD0126"/>
    <w:rsid w:val="00AD2693"/>
    <w:rsid w:val="00AE2E42"/>
    <w:rsid w:val="00AF64DD"/>
    <w:rsid w:val="00AF71C3"/>
    <w:rsid w:val="00B02E58"/>
    <w:rsid w:val="00B0706F"/>
    <w:rsid w:val="00B1403B"/>
    <w:rsid w:val="00B203B9"/>
    <w:rsid w:val="00B2466D"/>
    <w:rsid w:val="00B250ED"/>
    <w:rsid w:val="00B44B80"/>
    <w:rsid w:val="00B53E7F"/>
    <w:rsid w:val="00B61220"/>
    <w:rsid w:val="00B62EF4"/>
    <w:rsid w:val="00B63478"/>
    <w:rsid w:val="00B827B6"/>
    <w:rsid w:val="00B85F1A"/>
    <w:rsid w:val="00B92E9C"/>
    <w:rsid w:val="00B93CF6"/>
    <w:rsid w:val="00B94FC9"/>
    <w:rsid w:val="00B95A22"/>
    <w:rsid w:val="00BA39AD"/>
    <w:rsid w:val="00BB62D9"/>
    <w:rsid w:val="00BC48B6"/>
    <w:rsid w:val="00BD3002"/>
    <w:rsid w:val="00BD475D"/>
    <w:rsid w:val="00BD4865"/>
    <w:rsid w:val="00BD6A48"/>
    <w:rsid w:val="00BE288C"/>
    <w:rsid w:val="00BE365E"/>
    <w:rsid w:val="00BE7668"/>
    <w:rsid w:val="00BF387A"/>
    <w:rsid w:val="00BF712F"/>
    <w:rsid w:val="00BF7AF6"/>
    <w:rsid w:val="00C12ABF"/>
    <w:rsid w:val="00C164C9"/>
    <w:rsid w:val="00C16A03"/>
    <w:rsid w:val="00C2764D"/>
    <w:rsid w:val="00C352A2"/>
    <w:rsid w:val="00C4168B"/>
    <w:rsid w:val="00C445DC"/>
    <w:rsid w:val="00C44A3C"/>
    <w:rsid w:val="00C44F41"/>
    <w:rsid w:val="00C54FB2"/>
    <w:rsid w:val="00C57BB5"/>
    <w:rsid w:val="00C652DA"/>
    <w:rsid w:val="00C6620D"/>
    <w:rsid w:val="00C7730D"/>
    <w:rsid w:val="00C808F3"/>
    <w:rsid w:val="00C82113"/>
    <w:rsid w:val="00C832DF"/>
    <w:rsid w:val="00C83901"/>
    <w:rsid w:val="00C8713C"/>
    <w:rsid w:val="00C92C83"/>
    <w:rsid w:val="00C94B7B"/>
    <w:rsid w:val="00CA35F1"/>
    <w:rsid w:val="00CA38B1"/>
    <w:rsid w:val="00CA3920"/>
    <w:rsid w:val="00CA49E7"/>
    <w:rsid w:val="00CA7A93"/>
    <w:rsid w:val="00CB187D"/>
    <w:rsid w:val="00CB6C0C"/>
    <w:rsid w:val="00CB7100"/>
    <w:rsid w:val="00CC53B5"/>
    <w:rsid w:val="00CD0F55"/>
    <w:rsid w:val="00CD306F"/>
    <w:rsid w:val="00CF13C1"/>
    <w:rsid w:val="00CF233B"/>
    <w:rsid w:val="00D06C7C"/>
    <w:rsid w:val="00D06FA3"/>
    <w:rsid w:val="00D11E0B"/>
    <w:rsid w:val="00D14A6F"/>
    <w:rsid w:val="00D20533"/>
    <w:rsid w:val="00D2088C"/>
    <w:rsid w:val="00D30736"/>
    <w:rsid w:val="00D4158B"/>
    <w:rsid w:val="00D44B21"/>
    <w:rsid w:val="00D45A74"/>
    <w:rsid w:val="00D4724E"/>
    <w:rsid w:val="00D57DB5"/>
    <w:rsid w:val="00D81665"/>
    <w:rsid w:val="00D86FA9"/>
    <w:rsid w:val="00D8720F"/>
    <w:rsid w:val="00D93EB4"/>
    <w:rsid w:val="00D94B2D"/>
    <w:rsid w:val="00D953A7"/>
    <w:rsid w:val="00DA3870"/>
    <w:rsid w:val="00DA3FDF"/>
    <w:rsid w:val="00DA6A14"/>
    <w:rsid w:val="00DA7E5A"/>
    <w:rsid w:val="00DB0809"/>
    <w:rsid w:val="00DB31DA"/>
    <w:rsid w:val="00DB4771"/>
    <w:rsid w:val="00DB5366"/>
    <w:rsid w:val="00DC03C8"/>
    <w:rsid w:val="00DC114A"/>
    <w:rsid w:val="00DC4249"/>
    <w:rsid w:val="00DC649C"/>
    <w:rsid w:val="00DC7C93"/>
    <w:rsid w:val="00DD1C41"/>
    <w:rsid w:val="00DE2AA1"/>
    <w:rsid w:val="00E07EA8"/>
    <w:rsid w:val="00E14A05"/>
    <w:rsid w:val="00E22962"/>
    <w:rsid w:val="00E25E32"/>
    <w:rsid w:val="00E262EB"/>
    <w:rsid w:val="00E3041F"/>
    <w:rsid w:val="00E4543B"/>
    <w:rsid w:val="00E45E82"/>
    <w:rsid w:val="00E533EC"/>
    <w:rsid w:val="00E540BF"/>
    <w:rsid w:val="00E5774A"/>
    <w:rsid w:val="00E811FF"/>
    <w:rsid w:val="00E84AC2"/>
    <w:rsid w:val="00E934AD"/>
    <w:rsid w:val="00EC5C98"/>
    <w:rsid w:val="00ED52C3"/>
    <w:rsid w:val="00EE111D"/>
    <w:rsid w:val="00EE19A6"/>
    <w:rsid w:val="00EF4B78"/>
    <w:rsid w:val="00EF67AC"/>
    <w:rsid w:val="00EF7554"/>
    <w:rsid w:val="00F04811"/>
    <w:rsid w:val="00F05488"/>
    <w:rsid w:val="00F108AC"/>
    <w:rsid w:val="00F25AD0"/>
    <w:rsid w:val="00F277DB"/>
    <w:rsid w:val="00F53C85"/>
    <w:rsid w:val="00F6323B"/>
    <w:rsid w:val="00F66169"/>
    <w:rsid w:val="00F67EB3"/>
    <w:rsid w:val="00F84634"/>
    <w:rsid w:val="00F91CAB"/>
    <w:rsid w:val="00F9517B"/>
    <w:rsid w:val="00F973D9"/>
    <w:rsid w:val="00FB7486"/>
    <w:rsid w:val="00FC2E89"/>
    <w:rsid w:val="00FC6E85"/>
    <w:rsid w:val="00FC6EAB"/>
    <w:rsid w:val="00FD03C2"/>
    <w:rsid w:val="00FD0981"/>
    <w:rsid w:val="00FE09BB"/>
    <w:rsid w:val="00FE4D64"/>
    <w:rsid w:val="00FE5700"/>
    <w:rsid w:val="00FF14A0"/>
    <w:rsid w:val="00FF22E2"/>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842F05"/>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842F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42F05"/>
    <w:rPr>
      <w:sz w:val="20"/>
      <w:szCs w:val="20"/>
    </w:rPr>
  </w:style>
  <w:style w:type="character" w:styleId="Vresatsauce">
    <w:name w:val="footnote reference"/>
    <w:basedOn w:val="Noklusjumarindkopasfonts"/>
    <w:uiPriority w:val="99"/>
    <w:semiHidden/>
    <w:unhideWhenUsed/>
    <w:rsid w:val="00842F05"/>
    <w:rPr>
      <w:vertAlign w:val="superscript"/>
    </w:rPr>
  </w:style>
  <w:style w:type="table" w:customStyle="1" w:styleId="Reatabula1">
    <w:name w:val="Režģa tabula1"/>
    <w:basedOn w:val="Parastatabula"/>
    <w:next w:val="Reatabula"/>
    <w:uiPriority w:val="39"/>
    <w:rsid w:val="00FC6E8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355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5517"/>
    <w:rPr>
      <w:rFonts w:ascii="Segoe UI" w:hAnsi="Segoe UI" w:cs="Segoe UI"/>
      <w:sz w:val="18"/>
      <w:szCs w:val="18"/>
    </w:rPr>
  </w:style>
  <w:style w:type="paragraph" w:styleId="Galvene">
    <w:name w:val="header"/>
    <w:basedOn w:val="Parasts"/>
    <w:link w:val="GalveneRakstz"/>
    <w:uiPriority w:val="99"/>
    <w:unhideWhenUsed/>
    <w:rsid w:val="00DB08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0809"/>
  </w:style>
  <w:style w:type="paragraph" w:styleId="Kjene">
    <w:name w:val="footer"/>
    <w:basedOn w:val="Parasts"/>
    <w:link w:val="KjeneRakstz"/>
    <w:uiPriority w:val="99"/>
    <w:unhideWhenUsed/>
    <w:rsid w:val="00DB08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1728">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738436460">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9483-EFC4-47A5-8DC4-1DC6FAFD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11409</Words>
  <Characters>6504</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Darbinieks</cp:lastModifiedBy>
  <cp:revision>4</cp:revision>
  <cp:lastPrinted>2022-10-25T09:51:00Z</cp:lastPrinted>
  <dcterms:created xsi:type="dcterms:W3CDTF">2022-11-04T13:03:00Z</dcterms:created>
  <dcterms:modified xsi:type="dcterms:W3CDTF">2022-11-04T13:04:00Z</dcterms:modified>
</cp:coreProperties>
</file>