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E6" w:rsidRDefault="00EA24E6" w:rsidP="00EA24E6">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EA24E6" w:rsidRDefault="00EA24E6" w:rsidP="00EA24E6">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EA24E6" w:rsidRDefault="00EA24E6" w:rsidP="00EA24E6">
      <w:pPr>
        <w:spacing w:after="0" w:afterAutospacing="0"/>
        <w:jc w:val="center"/>
        <w:rPr>
          <w:rFonts w:eastAsia="Calibri" w:cs="Times New Roman"/>
          <w:szCs w:val="24"/>
          <w:lang w:eastAsia="lv-LV"/>
        </w:rPr>
      </w:pPr>
    </w:p>
    <w:p w:rsidR="00EA24E6" w:rsidRDefault="00EA24E6" w:rsidP="00EA24E6">
      <w:pPr>
        <w:spacing w:after="0" w:afterAutospacing="0"/>
        <w:rPr>
          <w:rFonts w:eastAsia="Calibri" w:cs="Times New Roman"/>
          <w:szCs w:val="24"/>
          <w:lang w:eastAsia="lv-LV"/>
        </w:rPr>
      </w:pPr>
      <w:r>
        <w:rPr>
          <w:rFonts w:eastAsia="Calibri" w:cs="Times New Roman"/>
          <w:iCs/>
        </w:rPr>
        <w:t>2024.gada _________________</w:t>
      </w:r>
    </w:p>
    <w:p w:rsidR="00EA24E6" w:rsidRDefault="00EA24E6" w:rsidP="00EA24E6">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EA24E6" w:rsidRDefault="00EA24E6" w:rsidP="00EA24E6">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EA24E6" w:rsidRDefault="00EA24E6" w:rsidP="00EA24E6">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23.01.2024. notikušās zemes nomas izsoles rezultātus, </w:t>
      </w:r>
      <w:r>
        <w:rPr>
          <w:rFonts w:eastAsia="Calibri" w:cs="Times New Roman"/>
          <w:szCs w:val="24"/>
          <w:lang w:eastAsia="lv-LV"/>
        </w:rPr>
        <w:t>noslēdz zemes nomas  līgumu, turpmāk – Līgums :</w:t>
      </w:r>
    </w:p>
    <w:p w:rsidR="00EA24E6" w:rsidRDefault="00EA24E6" w:rsidP="00EA24E6">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w:t>
      </w:r>
      <w:r>
        <w:rPr>
          <w:rFonts w:eastAsia="Calibri" w:cs="Times New Roman"/>
          <w:szCs w:val="24"/>
          <w:lang w:eastAsia="lv-LV"/>
        </w:rPr>
        <w:t>a</w:t>
      </w:r>
      <w:r>
        <w:rPr>
          <w:rFonts w:eastAsia="Calibri" w:cs="Times New Roman"/>
          <w:szCs w:val="24"/>
          <w:lang w:eastAsia="lv-LV"/>
        </w:rPr>
        <w:t xml:space="preserve"> zemesgabal</w:t>
      </w:r>
      <w:r>
        <w:rPr>
          <w:rFonts w:eastAsia="Calibri" w:cs="Times New Roman"/>
          <w:szCs w:val="24"/>
          <w:lang w:eastAsia="lv-LV"/>
        </w:rPr>
        <w:t>a</w:t>
      </w:r>
      <w:r>
        <w:rPr>
          <w:rFonts w:eastAsia="Calibri" w:cs="Times New Roman"/>
          <w:szCs w:val="24"/>
          <w:lang w:eastAsia="lv-LV"/>
        </w:rPr>
        <w:t xml:space="preserve"> </w:t>
      </w:r>
      <w:r>
        <w:rPr>
          <w:rFonts w:eastAsia="Calibri" w:cs="Times New Roman"/>
          <w:szCs w:val="24"/>
          <w:lang w:eastAsia="lv-LV"/>
        </w:rPr>
        <w:t>daļu</w:t>
      </w:r>
      <w:r>
        <w:rPr>
          <w:rFonts w:eastAsia="Calibri" w:cs="Times New Roman"/>
          <w:szCs w:val="24"/>
          <w:lang w:eastAsia="lv-LV"/>
        </w:rPr>
        <w:t xml:space="preserve"> “</w:t>
      </w:r>
      <w:r>
        <w:rPr>
          <w:rFonts w:eastAsia="Calibri" w:cs="Times New Roman"/>
          <w:szCs w:val="24"/>
          <w:lang w:eastAsia="lv-LV"/>
        </w:rPr>
        <w:t>Starpgabali pašvaldībai piekritīgie</w:t>
      </w:r>
      <w:r>
        <w:rPr>
          <w:rFonts w:eastAsia="Calibri" w:cs="Times New Roman"/>
          <w:szCs w:val="24"/>
          <w:lang w:eastAsia="lv-LV"/>
        </w:rPr>
        <w:t xml:space="preserve">”, Kalncempju pagastā,  Alūksnes novadā, kadastra apzīmējums 3664 </w:t>
      </w:r>
      <w:r>
        <w:rPr>
          <w:rFonts w:eastAsia="Calibri" w:cs="Times New Roman"/>
          <w:szCs w:val="24"/>
          <w:lang w:eastAsia="lv-LV"/>
        </w:rPr>
        <w:t>004 0155</w:t>
      </w:r>
      <w:r>
        <w:rPr>
          <w:rFonts w:eastAsia="Calibri" w:cs="Times New Roman"/>
          <w:szCs w:val="24"/>
          <w:lang w:eastAsia="lv-LV"/>
        </w:rPr>
        <w:t xml:space="preserve">, </w:t>
      </w:r>
      <w:r>
        <w:rPr>
          <w:rFonts w:eastAsia="Calibri" w:cs="Times New Roman"/>
          <w:szCs w:val="24"/>
          <w:lang w:eastAsia="lv-LV"/>
        </w:rPr>
        <w:t>0.5</w:t>
      </w:r>
      <w:r>
        <w:rPr>
          <w:rFonts w:eastAsia="Calibri" w:cs="Times New Roman"/>
          <w:szCs w:val="24"/>
          <w:lang w:eastAsia="lv-LV"/>
        </w:rPr>
        <w:t xml:space="preserve"> ha platībā, turpmāk – Zemesgabals.</w:t>
      </w:r>
    </w:p>
    <w:p w:rsidR="00EA24E6" w:rsidRDefault="00EA24E6" w:rsidP="00EA24E6">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 xml:space="preserve">Alūksnes novada pašvaldībai saskaņā ar Alūksnes </w:t>
      </w:r>
      <w:r>
        <w:rPr>
          <w:rFonts w:eastAsia="Times New Roman" w:cs="Times New Roman"/>
          <w:szCs w:val="24"/>
          <w:lang w:eastAsia="lv-LV"/>
        </w:rPr>
        <w:t>pilsētas</w:t>
      </w:r>
      <w:r>
        <w:rPr>
          <w:rFonts w:eastAsia="Times New Roman" w:cs="Times New Roman"/>
          <w:szCs w:val="24"/>
          <w:lang w:eastAsia="lv-LV"/>
        </w:rPr>
        <w:t xml:space="preserve"> Zemes komisijas </w:t>
      </w:r>
      <w:r>
        <w:rPr>
          <w:rFonts w:eastAsia="Times New Roman" w:cs="Times New Roman"/>
          <w:szCs w:val="24"/>
          <w:lang w:eastAsia="lv-LV"/>
        </w:rPr>
        <w:t>29.12.2009.</w:t>
      </w:r>
      <w:r>
        <w:rPr>
          <w:rFonts w:eastAsia="Times New Roman" w:cs="Times New Roman"/>
          <w:szCs w:val="24"/>
          <w:lang w:eastAsia="lv-LV"/>
        </w:rPr>
        <w:t xml:space="preserve"> lēmumu Nr.</w:t>
      </w:r>
      <w:r>
        <w:rPr>
          <w:rFonts w:eastAsia="Times New Roman" w:cs="Times New Roman"/>
          <w:szCs w:val="24"/>
          <w:lang w:eastAsia="lv-LV"/>
        </w:rPr>
        <w:t>172</w:t>
      </w:r>
      <w:r>
        <w:rPr>
          <w:rFonts w:eastAsia="Times New Roman" w:cs="Times New Roman"/>
          <w:szCs w:val="24"/>
          <w:lang w:eastAsia="lv-LV"/>
        </w:rPr>
        <w:t xml:space="preserve"> “Par zemes piekritību pašvaldībai”. Zemesgabala platība var mainīties, ja tiek aktualizēti Zemesgabala kadastra dati pēc tā kadastrālās uzmērīšanas.</w:t>
      </w:r>
    </w:p>
    <w:p w:rsidR="00EA24E6" w:rsidRDefault="00EA24E6" w:rsidP="00EA24E6">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w:t>
      </w:r>
      <w:bookmarkStart w:id="1" w:name="_GoBack"/>
      <w:bookmarkEnd w:id="1"/>
      <w:r>
        <w:rPr>
          <w:rFonts w:eastAsia="Calibri" w:cs="Times New Roman"/>
          <w:szCs w:val="24"/>
          <w:lang w:eastAsia="lv-LV"/>
        </w:rPr>
        <w:t>m pieņemams.</w:t>
      </w:r>
    </w:p>
    <w:p w:rsidR="00EA24E6" w:rsidRP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Kalncempju pagasta teritorijas plānojumu, noteikti šādi lietošanas tiesību apgrūtinājumi:</w:t>
      </w:r>
    </w:p>
    <w:p w:rsidR="00EA24E6" w:rsidRPr="00EA24E6" w:rsidRDefault="00EA24E6" w:rsidP="00EA24E6">
      <w:pPr>
        <w:pStyle w:val="Sarakstarindkopa"/>
        <w:numPr>
          <w:ilvl w:val="0"/>
          <w:numId w:val="6"/>
        </w:numPr>
        <w:spacing w:line="252" w:lineRule="auto"/>
        <w:jc w:val="both"/>
        <w:rPr>
          <w:rFonts w:eastAsia="Calibri"/>
          <w:bCs/>
          <w:sz w:val="24"/>
          <w:szCs w:val="24"/>
        </w:rPr>
      </w:pPr>
      <w:r w:rsidRPr="00EA24E6">
        <w:rPr>
          <w:kern w:val="2"/>
          <w:szCs w:val="24"/>
          <w14:ligatures w14:val="standardContextual"/>
        </w:rPr>
        <w:t xml:space="preserve"> </w:t>
      </w:r>
      <w:r w:rsidRPr="00EA24E6">
        <w:rPr>
          <w:kern w:val="2"/>
          <w:sz w:val="24"/>
          <w:szCs w:val="24"/>
          <w14:ligatures w14:val="standardContextual"/>
        </w:rPr>
        <w:t>Aizsargjosla ap ūdens ņemšanas vietām.</w:t>
      </w:r>
    </w:p>
    <w:p w:rsidR="00EA24E6" w:rsidRDefault="00EA24E6" w:rsidP="00EA24E6">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EA24E6" w:rsidRDefault="00EA24E6" w:rsidP="00EA24E6">
      <w:pPr>
        <w:spacing w:after="0" w:afterAutospacing="0"/>
        <w:ind w:left="804"/>
        <w:jc w:val="both"/>
        <w:rPr>
          <w:rFonts w:eastAsia="Calibri" w:cs="Times New Roman"/>
          <w:bCs/>
          <w:szCs w:val="24"/>
          <w:lang w:eastAsia="lv-LV"/>
        </w:rPr>
      </w:pPr>
    </w:p>
    <w:p w:rsidR="00EA24E6" w:rsidRDefault="00EA24E6" w:rsidP="00EA24E6">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EA24E6" w:rsidRDefault="00EA24E6" w:rsidP="00EA24E6">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EA24E6" w:rsidRDefault="00EA24E6" w:rsidP="00EA24E6">
      <w:pPr>
        <w:spacing w:after="0" w:afterAutospacing="0"/>
        <w:jc w:val="both"/>
        <w:rPr>
          <w:rFonts w:eastAsia="Calibri" w:cs="Times New Roman"/>
          <w:szCs w:val="24"/>
          <w:lang w:eastAsia="lv-LV"/>
        </w:rPr>
      </w:pPr>
    </w:p>
    <w:p w:rsidR="00EA24E6" w:rsidRDefault="00EA24E6" w:rsidP="00EA24E6">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EA24E6" w:rsidRDefault="00EA24E6" w:rsidP="00EA24E6">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EA24E6" w:rsidRDefault="00EA24E6" w:rsidP="00EA24E6">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EA24E6" w:rsidRDefault="00EA24E6" w:rsidP="00EA24E6">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EA24E6" w:rsidRDefault="00EA24E6" w:rsidP="00EA24E6">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EA24E6" w:rsidRDefault="00EA24E6" w:rsidP="00EA24E6">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rsidR="00EA24E6" w:rsidRDefault="00EA24E6" w:rsidP="00EA24E6">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EA24E6" w:rsidRDefault="00EA24E6" w:rsidP="00EA24E6">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EA24E6" w:rsidRDefault="00EA24E6" w:rsidP="00EA24E6">
      <w:pPr>
        <w:spacing w:after="0" w:afterAutospacing="0"/>
        <w:ind w:left="-18"/>
        <w:contextualSpacing/>
        <w:jc w:val="both"/>
        <w:rPr>
          <w:rFonts w:eastAsia="Calibri" w:cs="Times New Roman"/>
          <w:szCs w:val="24"/>
          <w:lang w:eastAsia="lv-LV"/>
        </w:rPr>
      </w:pPr>
    </w:p>
    <w:p w:rsidR="00EA24E6" w:rsidRDefault="00EA24E6" w:rsidP="00EA24E6">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t>Līguma izpildes nodrošināšanai Iznomātājam kā pārzinim ir tiesības nodot Nomnieka datus medību tiesību izlietotājam.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rsidR="00EA24E6" w:rsidRDefault="00EA24E6" w:rsidP="00EA24E6">
      <w:pPr>
        <w:spacing w:after="0" w:afterAutospacing="0"/>
        <w:ind w:left="567"/>
        <w:jc w:val="both"/>
        <w:rPr>
          <w:rFonts w:eastAsia="Calibri" w:cs="Times New Roman"/>
          <w:szCs w:val="24"/>
          <w:lang w:eastAsia="lv-LV"/>
        </w:rPr>
      </w:pPr>
    </w:p>
    <w:bookmarkEnd w:id="5"/>
    <w:p w:rsidR="00EA24E6" w:rsidRDefault="00EA24E6" w:rsidP="00EA24E6">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EA24E6" w:rsidRDefault="00EA24E6" w:rsidP="00EA24E6">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rsidR="00EA24E6" w:rsidRDefault="00EA24E6" w:rsidP="00EA24E6">
      <w:pPr>
        <w:tabs>
          <w:tab w:val="left" w:pos="567"/>
        </w:tabs>
        <w:spacing w:after="0" w:afterAutospacing="0"/>
        <w:ind w:left="360"/>
        <w:contextualSpacing/>
        <w:jc w:val="both"/>
        <w:rPr>
          <w:rFonts w:eastAsia="Calibri" w:cs="Times New Roman"/>
          <w:szCs w:val="24"/>
          <w:lang w:eastAsia="lv-LV"/>
        </w:rPr>
      </w:pPr>
    </w:p>
    <w:p w:rsidR="00EA24E6" w:rsidRDefault="00EA24E6" w:rsidP="00EA24E6">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EA24E6" w:rsidRDefault="00EA24E6" w:rsidP="00EA24E6">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EA24E6" w:rsidRDefault="00EA24E6" w:rsidP="00EA24E6">
      <w:pPr>
        <w:spacing w:after="0" w:afterAutospacing="0"/>
        <w:jc w:val="both"/>
        <w:rPr>
          <w:rFonts w:eastAsia="Calibri" w:cs="Times New Roman"/>
          <w:szCs w:val="24"/>
          <w:lang w:eastAsia="lv-LV"/>
        </w:rPr>
      </w:pPr>
    </w:p>
    <w:p w:rsidR="00EA24E6" w:rsidRDefault="00EA24E6" w:rsidP="00EA24E6">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EA24E6" w:rsidRDefault="00EA24E6" w:rsidP="00EA24E6">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EA24E6" w:rsidRDefault="00EA24E6" w:rsidP="00EA24E6">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EA24E6" w:rsidRDefault="00EA24E6" w:rsidP="00EA24E6">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EA24E6" w:rsidRDefault="00EA24E6" w:rsidP="00EA24E6">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EA24E6" w:rsidRDefault="00EA24E6" w:rsidP="00EA24E6">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EA24E6" w:rsidRDefault="00EA24E6" w:rsidP="00EA24E6">
      <w:pPr>
        <w:spacing w:after="0" w:afterAutospacing="0"/>
        <w:contextualSpacing/>
        <w:jc w:val="both"/>
        <w:rPr>
          <w:rFonts w:eastAsia="Calibri" w:cs="Times New Roman"/>
          <w:bCs/>
          <w:szCs w:val="24"/>
          <w:lang w:eastAsia="lv-LV"/>
        </w:rPr>
      </w:pPr>
    </w:p>
    <w:p w:rsidR="00EA24E6" w:rsidRDefault="00EA24E6" w:rsidP="00EA24E6">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EA24E6" w:rsidRDefault="00EA24E6" w:rsidP="00EA24E6">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EA24E6" w:rsidRDefault="00EA24E6" w:rsidP="00EA24E6">
      <w:pPr>
        <w:spacing w:after="0" w:afterAutospacing="0" w:line="252" w:lineRule="auto"/>
        <w:ind w:left="567"/>
        <w:jc w:val="both"/>
        <w:rPr>
          <w:rFonts w:eastAsia="Calibri" w:cs="Times New Roman"/>
          <w:szCs w:val="24"/>
          <w:lang w:eastAsia="lv-LV"/>
        </w:rPr>
      </w:pPr>
    </w:p>
    <w:p w:rsidR="00EA24E6" w:rsidRDefault="00EA24E6" w:rsidP="00EA24E6">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EA24E6" w:rsidTr="00EA24E6">
        <w:trPr>
          <w:gridBefore w:val="1"/>
          <w:wBefore w:w="108" w:type="dxa"/>
        </w:trPr>
        <w:tc>
          <w:tcPr>
            <w:tcW w:w="4101" w:type="dxa"/>
          </w:tcPr>
          <w:p w:rsidR="00EA24E6" w:rsidRDefault="00EA24E6">
            <w:pPr>
              <w:spacing w:after="0" w:afterAutospacing="0" w:line="252" w:lineRule="auto"/>
              <w:jc w:val="both"/>
              <w:rPr>
                <w:rFonts w:eastAsia="Times New Roman" w:cs="Times New Roman"/>
                <w:b/>
                <w:bCs/>
                <w:szCs w:val="24"/>
              </w:rPr>
            </w:pPr>
          </w:p>
        </w:tc>
        <w:tc>
          <w:tcPr>
            <w:tcW w:w="287" w:type="dxa"/>
          </w:tcPr>
          <w:p w:rsidR="00EA24E6" w:rsidRDefault="00EA24E6">
            <w:pPr>
              <w:spacing w:after="0" w:afterAutospacing="0" w:line="252" w:lineRule="auto"/>
              <w:jc w:val="center"/>
              <w:rPr>
                <w:rFonts w:eastAsia="Times New Roman" w:cs="Times New Roman"/>
                <w:b/>
                <w:bCs/>
                <w:szCs w:val="24"/>
              </w:rPr>
            </w:pPr>
          </w:p>
        </w:tc>
        <w:tc>
          <w:tcPr>
            <w:tcW w:w="4968" w:type="dxa"/>
            <w:gridSpan w:val="4"/>
          </w:tcPr>
          <w:p w:rsidR="00EA24E6" w:rsidRDefault="00EA24E6">
            <w:pPr>
              <w:spacing w:after="0" w:afterAutospacing="0" w:line="252" w:lineRule="auto"/>
              <w:jc w:val="both"/>
              <w:rPr>
                <w:rFonts w:eastAsia="Times New Roman" w:cs="Times New Roman"/>
                <w:b/>
                <w:bCs/>
                <w:szCs w:val="24"/>
              </w:rPr>
            </w:pPr>
          </w:p>
        </w:tc>
      </w:tr>
      <w:tr w:rsidR="00EA24E6" w:rsidTr="00EA24E6">
        <w:trPr>
          <w:gridAfter w:val="1"/>
          <w:wAfter w:w="177" w:type="dxa"/>
        </w:trPr>
        <w:tc>
          <w:tcPr>
            <w:tcW w:w="4503" w:type="dxa"/>
            <w:gridSpan w:val="4"/>
          </w:tcPr>
          <w:p w:rsidR="00EA24E6" w:rsidRDefault="00EA24E6">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EA24E6" w:rsidRDefault="00EA24E6">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EA24E6" w:rsidRDefault="00EA24E6">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EA24E6" w:rsidRDefault="00EA24E6">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EA24E6" w:rsidRDefault="00EA24E6">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EA24E6" w:rsidRDefault="00EA24E6">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EA24E6" w:rsidRDefault="00EA24E6">
            <w:pPr>
              <w:spacing w:after="0" w:afterAutospacing="0" w:line="252" w:lineRule="auto"/>
              <w:jc w:val="both"/>
              <w:rPr>
                <w:rFonts w:eastAsia="Calibri" w:cs="Times New Roman"/>
                <w:b/>
                <w:kern w:val="2"/>
                <w:szCs w:val="24"/>
                <w14:ligatures w14:val="standardContextual"/>
              </w:rPr>
            </w:pPr>
          </w:p>
        </w:tc>
        <w:tc>
          <w:tcPr>
            <w:tcW w:w="708" w:type="dxa"/>
          </w:tcPr>
          <w:p w:rsidR="00EA24E6" w:rsidRDefault="00EA24E6">
            <w:pPr>
              <w:spacing w:after="0" w:afterAutospacing="0" w:line="252" w:lineRule="auto"/>
              <w:jc w:val="center"/>
              <w:rPr>
                <w:rFonts w:eastAsia="Calibri" w:cs="Times New Roman"/>
                <w:b/>
                <w:kern w:val="2"/>
                <w:szCs w:val="24"/>
                <w14:ligatures w14:val="standardContextual"/>
              </w:rPr>
            </w:pPr>
          </w:p>
        </w:tc>
        <w:tc>
          <w:tcPr>
            <w:tcW w:w="4076" w:type="dxa"/>
          </w:tcPr>
          <w:p w:rsidR="00EA24E6" w:rsidRDefault="00EA24E6">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b/>
                <w:kern w:val="2"/>
                <w:szCs w:val="24"/>
                <w14:ligatures w14:val="standardContextual"/>
              </w:rPr>
            </w:pPr>
          </w:p>
        </w:tc>
      </w:tr>
    </w:tbl>
    <w:p w:rsidR="00EA24E6" w:rsidRDefault="00EA24E6" w:rsidP="00EA24E6">
      <w:pPr>
        <w:spacing w:after="160" w:afterAutospacing="0" w:line="252" w:lineRule="auto"/>
        <w:rPr>
          <w:rFonts w:eastAsia="Calibri" w:cs="Times New Roman"/>
        </w:rPr>
      </w:pPr>
    </w:p>
    <w:p w:rsidR="00EA24E6" w:rsidRDefault="00EA24E6" w:rsidP="00EA24E6"/>
    <w:p w:rsidR="00EA24E6" w:rsidRDefault="00EA24E6" w:rsidP="00EA24E6"/>
    <w:p w:rsidR="00B117D8" w:rsidRDefault="00B117D8"/>
    <w:sectPr w:rsidR="00B117D8" w:rsidSect="00EA24E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4D0B5526"/>
    <w:multiLevelType w:val="hybridMultilevel"/>
    <w:tmpl w:val="9CD644FC"/>
    <w:lvl w:ilvl="0" w:tplc="87EAB998">
      <w:numFmt w:val="bullet"/>
      <w:lvlText w:val="-"/>
      <w:lvlJc w:val="left"/>
      <w:pPr>
        <w:ind w:left="1164" w:hanging="360"/>
      </w:pPr>
      <w:rPr>
        <w:rFonts w:ascii="Times New Roman" w:eastAsia="Calibri" w:hAnsi="Times New Roman" w:cs="Times New Roman" w:hint="default"/>
      </w:rPr>
    </w:lvl>
    <w:lvl w:ilvl="1" w:tplc="04260003" w:tentative="1">
      <w:start w:val="1"/>
      <w:numFmt w:val="bullet"/>
      <w:lvlText w:val="o"/>
      <w:lvlJc w:val="left"/>
      <w:pPr>
        <w:ind w:left="1884" w:hanging="360"/>
      </w:pPr>
      <w:rPr>
        <w:rFonts w:ascii="Courier New" w:hAnsi="Courier New" w:cs="Courier New" w:hint="default"/>
      </w:rPr>
    </w:lvl>
    <w:lvl w:ilvl="2" w:tplc="04260005" w:tentative="1">
      <w:start w:val="1"/>
      <w:numFmt w:val="bullet"/>
      <w:lvlText w:val=""/>
      <w:lvlJc w:val="left"/>
      <w:pPr>
        <w:ind w:left="2604" w:hanging="360"/>
      </w:pPr>
      <w:rPr>
        <w:rFonts w:ascii="Wingdings" w:hAnsi="Wingdings" w:hint="default"/>
      </w:rPr>
    </w:lvl>
    <w:lvl w:ilvl="3" w:tplc="04260001" w:tentative="1">
      <w:start w:val="1"/>
      <w:numFmt w:val="bullet"/>
      <w:lvlText w:val=""/>
      <w:lvlJc w:val="left"/>
      <w:pPr>
        <w:ind w:left="3324" w:hanging="360"/>
      </w:pPr>
      <w:rPr>
        <w:rFonts w:ascii="Symbol" w:hAnsi="Symbol" w:hint="default"/>
      </w:rPr>
    </w:lvl>
    <w:lvl w:ilvl="4" w:tplc="04260003" w:tentative="1">
      <w:start w:val="1"/>
      <w:numFmt w:val="bullet"/>
      <w:lvlText w:val="o"/>
      <w:lvlJc w:val="left"/>
      <w:pPr>
        <w:ind w:left="4044" w:hanging="360"/>
      </w:pPr>
      <w:rPr>
        <w:rFonts w:ascii="Courier New" w:hAnsi="Courier New" w:cs="Courier New" w:hint="default"/>
      </w:rPr>
    </w:lvl>
    <w:lvl w:ilvl="5" w:tplc="04260005" w:tentative="1">
      <w:start w:val="1"/>
      <w:numFmt w:val="bullet"/>
      <w:lvlText w:val=""/>
      <w:lvlJc w:val="left"/>
      <w:pPr>
        <w:ind w:left="4764" w:hanging="360"/>
      </w:pPr>
      <w:rPr>
        <w:rFonts w:ascii="Wingdings" w:hAnsi="Wingdings" w:hint="default"/>
      </w:rPr>
    </w:lvl>
    <w:lvl w:ilvl="6" w:tplc="04260001" w:tentative="1">
      <w:start w:val="1"/>
      <w:numFmt w:val="bullet"/>
      <w:lvlText w:val=""/>
      <w:lvlJc w:val="left"/>
      <w:pPr>
        <w:ind w:left="5484" w:hanging="360"/>
      </w:pPr>
      <w:rPr>
        <w:rFonts w:ascii="Symbol" w:hAnsi="Symbol" w:hint="default"/>
      </w:rPr>
    </w:lvl>
    <w:lvl w:ilvl="7" w:tplc="04260003" w:tentative="1">
      <w:start w:val="1"/>
      <w:numFmt w:val="bullet"/>
      <w:lvlText w:val="o"/>
      <w:lvlJc w:val="left"/>
      <w:pPr>
        <w:ind w:left="6204" w:hanging="360"/>
      </w:pPr>
      <w:rPr>
        <w:rFonts w:ascii="Courier New" w:hAnsi="Courier New" w:cs="Courier New" w:hint="default"/>
      </w:rPr>
    </w:lvl>
    <w:lvl w:ilvl="8" w:tplc="04260005" w:tentative="1">
      <w:start w:val="1"/>
      <w:numFmt w:val="bullet"/>
      <w:lvlText w:val=""/>
      <w:lvlJc w:val="left"/>
      <w:pPr>
        <w:ind w:left="6924" w:hanging="360"/>
      </w:pPr>
      <w:rPr>
        <w:rFonts w:ascii="Wingdings" w:hAnsi="Wingdings" w:hint="default"/>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E9D58A4"/>
    <w:multiLevelType w:val="hybridMultilevel"/>
    <w:tmpl w:val="5B148F54"/>
    <w:lvl w:ilvl="0" w:tplc="8A682F8C">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3C"/>
    <w:rsid w:val="00B117D8"/>
    <w:rsid w:val="00DA1D3C"/>
    <w:rsid w:val="00EA2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B3B7D-6BE1-4116-BAAD-119605F5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24E6"/>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A24E6"/>
    <w:rPr>
      <w:color w:val="0563C1" w:themeColor="hyperlink"/>
      <w:u w:val="single"/>
    </w:rPr>
  </w:style>
  <w:style w:type="paragraph" w:styleId="Sarakstarindkopa">
    <w:name w:val="List Paragraph"/>
    <w:basedOn w:val="Parasts"/>
    <w:uiPriority w:val="34"/>
    <w:qFormat/>
    <w:rsid w:val="00EA24E6"/>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9393</Words>
  <Characters>5355</Characters>
  <Application>Microsoft Office Word</Application>
  <DocSecurity>0</DocSecurity>
  <Lines>44</Lines>
  <Paragraphs>29</Paragraphs>
  <ScaleCrop>false</ScaleCrop>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2024-01-11T14:09:00Z</dcterms:created>
  <dcterms:modified xsi:type="dcterms:W3CDTF">2024-01-11T14:13:00Z</dcterms:modified>
</cp:coreProperties>
</file>