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E6" w:rsidRDefault="00EA24E6" w:rsidP="00EA24E6">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EA24E6" w:rsidRDefault="00EA24E6" w:rsidP="00EA24E6">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EA24E6" w:rsidRDefault="00EA24E6" w:rsidP="00EA24E6">
      <w:pPr>
        <w:spacing w:after="0" w:afterAutospacing="0"/>
        <w:jc w:val="center"/>
        <w:rPr>
          <w:rFonts w:eastAsia="Calibri" w:cs="Times New Roman"/>
          <w:szCs w:val="24"/>
          <w:lang w:eastAsia="lv-LV"/>
        </w:rPr>
      </w:pPr>
    </w:p>
    <w:p w:rsidR="00EA24E6" w:rsidRDefault="00EA24E6" w:rsidP="00EA24E6">
      <w:pPr>
        <w:spacing w:after="0" w:afterAutospacing="0"/>
        <w:rPr>
          <w:rFonts w:eastAsia="Calibri" w:cs="Times New Roman"/>
          <w:szCs w:val="24"/>
          <w:lang w:eastAsia="lv-LV"/>
        </w:rPr>
      </w:pPr>
      <w:r>
        <w:rPr>
          <w:rFonts w:eastAsia="Calibri" w:cs="Times New Roman"/>
          <w:iCs/>
        </w:rPr>
        <w:t>2024.gada _________________</w:t>
      </w:r>
    </w:p>
    <w:p w:rsidR="00EA24E6" w:rsidRDefault="00EA24E6" w:rsidP="00EA24E6">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EA24E6" w:rsidRDefault="00EA24E6" w:rsidP="00EA24E6">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EA24E6" w:rsidRDefault="00EA24E6" w:rsidP="00EA24E6">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00571F48">
        <w:rPr>
          <w:rFonts w:eastAsia="Calibri" w:cs="Times New Roman"/>
          <w:szCs w:val="24"/>
        </w:rPr>
        <w:t>12.03.</w:t>
      </w:r>
      <w:r>
        <w:rPr>
          <w:rFonts w:eastAsia="Calibri" w:cs="Times New Roman"/>
          <w:szCs w:val="24"/>
        </w:rPr>
        <w:t>2024. notikušās zemes nomas</w:t>
      </w:r>
      <w:r w:rsidR="00571F48">
        <w:rPr>
          <w:rFonts w:eastAsia="Calibri" w:cs="Times New Roman"/>
          <w:szCs w:val="24"/>
        </w:rPr>
        <w:t xml:space="preserve"> tiesību atkārtotas</w:t>
      </w:r>
      <w:r>
        <w:rPr>
          <w:rFonts w:eastAsia="Calibri" w:cs="Times New Roman"/>
          <w:szCs w:val="24"/>
        </w:rPr>
        <w:t xml:space="preserve"> izsoles rezultātus, </w:t>
      </w:r>
      <w:r>
        <w:rPr>
          <w:rFonts w:eastAsia="Calibri" w:cs="Times New Roman"/>
          <w:szCs w:val="24"/>
          <w:lang w:eastAsia="lv-LV"/>
        </w:rPr>
        <w:t>noslēdz zemes nomas  līgumu, turpmāk – Līgums :</w:t>
      </w:r>
    </w:p>
    <w:p w:rsidR="00571F48" w:rsidRDefault="00571F48" w:rsidP="00EA24E6">
      <w:pPr>
        <w:spacing w:after="0" w:afterAutospacing="0"/>
        <w:ind w:firstLine="540"/>
        <w:jc w:val="both"/>
        <w:rPr>
          <w:rFonts w:eastAsia="Calibri" w:cs="Times New Roman"/>
          <w:szCs w:val="24"/>
          <w:lang w:eastAsia="lv-LV"/>
        </w:rPr>
      </w:pPr>
    </w:p>
    <w:p w:rsidR="00EA24E6" w:rsidRDefault="00EA24E6" w:rsidP="00EA24E6">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neapbūvēta zemesgabala daļu “Starpgabali pašvaldībai piekritīgie”, Kalncempju pagastā,  Alūksnes novadā, kadastra apzīmējums 3664 004 0155, 0.5 ha platībā, turpmāk – Zemesgabals.</w:t>
      </w:r>
    </w:p>
    <w:p w:rsidR="00EA24E6" w:rsidRDefault="00EA24E6" w:rsidP="00EA24E6">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pilsētas Zemes komisijas 29.12.2009. lēmumu Nr.172 “Par zemes piekritību pašvaldībai”. Zemesgabala platība var mainīties, ja tiek aktualizēti Zemesgabala kadastra dati pēc tā kadastrālās uzmērīšanas.</w:t>
      </w:r>
    </w:p>
    <w:p w:rsidR="00EA24E6" w:rsidRDefault="00EA24E6" w:rsidP="00EA24E6">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EA24E6" w:rsidRPr="00EA24E6" w:rsidRDefault="00EA24E6" w:rsidP="00EA24E6">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Kalncempju pagasta teritorijas plānojumu, noteikti šādi lietošanas tiesību apgrūtinājumi:</w:t>
      </w:r>
    </w:p>
    <w:p w:rsidR="00EA24E6" w:rsidRPr="00EA24E6" w:rsidRDefault="00EA24E6" w:rsidP="00EA24E6">
      <w:pPr>
        <w:pStyle w:val="Sarakstarindkopa"/>
        <w:numPr>
          <w:ilvl w:val="0"/>
          <w:numId w:val="6"/>
        </w:numPr>
        <w:spacing w:line="252" w:lineRule="auto"/>
        <w:jc w:val="both"/>
        <w:rPr>
          <w:rFonts w:eastAsia="Calibri"/>
          <w:bCs/>
          <w:sz w:val="24"/>
          <w:szCs w:val="24"/>
        </w:rPr>
      </w:pPr>
      <w:r w:rsidRPr="00EA24E6">
        <w:rPr>
          <w:kern w:val="2"/>
          <w:szCs w:val="24"/>
          <w14:ligatures w14:val="standardContextual"/>
        </w:rPr>
        <w:t xml:space="preserve"> </w:t>
      </w:r>
      <w:r w:rsidRPr="00EA24E6">
        <w:rPr>
          <w:kern w:val="2"/>
          <w:sz w:val="24"/>
          <w:szCs w:val="24"/>
          <w14:ligatures w14:val="standardContextual"/>
        </w:rPr>
        <w:t>Aizsargjosla ap ūdens ņemšanas vietām.</w:t>
      </w:r>
    </w:p>
    <w:p w:rsidR="00EA24E6" w:rsidRDefault="00EA24E6" w:rsidP="00EA24E6">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EA24E6" w:rsidRDefault="00EA24E6" w:rsidP="00EA24E6">
      <w:pPr>
        <w:spacing w:after="0" w:afterAutospacing="0"/>
        <w:ind w:left="804"/>
        <w:jc w:val="both"/>
        <w:rPr>
          <w:rFonts w:eastAsia="Calibri" w:cs="Times New Roman"/>
          <w:bCs/>
          <w:szCs w:val="24"/>
          <w:lang w:eastAsia="lv-LV"/>
        </w:rPr>
      </w:pPr>
    </w:p>
    <w:p w:rsidR="00EA24E6" w:rsidRDefault="00EA24E6" w:rsidP="00EA24E6">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EA24E6" w:rsidRDefault="00EA24E6" w:rsidP="00EA24E6">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EA24E6" w:rsidRDefault="00EA24E6" w:rsidP="00EA24E6">
      <w:pPr>
        <w:spacing w:after="0" w:afterAutospacing="0"/>
        <w:jc w:val="both"/>
        <w:rPr>
          <w:rFonts w:eastAsia="Calibri" w:cs="Times New Roman"/>
          <w:szCs w:val="24"/>
          <w:lang w:eastAsia="lv-LV"/>
        </w:rPr>
      </w:pPr>
    </w:p>
    <w:p w:rsidR="00EA24E6" w:rsidRDefault="00EA24E6" w:rsidP="00EA24E6">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EA24E6" w:rsidRDefault="00EA24E6" w:rsidP="00EA24E6">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EA24E6" w:rsidRDefault="00EA24E6" w:rsidP="00EA24E6">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EA24E6" w:rsidRDefault="00EA24E6" w:rsidP="00EA24E6">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EA24E6" w:rsidRDefault="00EA24E6" w:rsidP="00EA24E6">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EA24E6" w:rsidRDefault="00EA24E6" w:rsidP="00EA24E6">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EA24E6" w:rsidRDefault="00EA24E6" w:rsidP="00EA24E6">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rFonts w:eastAsia="Calibri" w:cs="Times New Roman"/>
          <w:szCs w:val="24"/>
          <w:lang w:eastAsia="lv-LV"/>
        </w:rPr>
        <w:t>;</w:t>
      </w:r>
    </w:p>
    <w:p w:rsidR="00EA24E6" w:rsidRDefault="00EA24E6" w:rsidP="00EA24E6">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EA24E6" w:rsidRDefault="00EA24E6" w:rsidP="00EA24E6">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EA24E6" w:rsidRDefault="00EA24E6" w:rsidP="00EA24E6">
      <w:pPr>
        <w:spacing w:after="0" w:afterAutospacing="0"/>
        <w:ind w:left="-18"/>
        <w:contextualSpacing/>
        <w:jc w:val="both"/>
        <w:rPr>
          <w:rFonts w:eastAsia="Calibri" w:cs="Times New Roman"/>
          <w:szCs w:val="24"/>
          <w:lang w:eastAsia="lv-LV"/>
        </w:rPr>
      </w:pPr>
    </w:p>
    <w:p w:rsidR="00EA24E6" w:rsidRDefault="00EA24E6" w:rsidP="00EA24E6">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bookmarkStart w:id="2"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bookmarkStart w:id="3" w:name="_Hlk536019217"/>
      <w:bookmarkEnd w:id="2"/>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bookmarkStart w:id="4" w:name="_Hlk535845905"/>
      <w:r>
        <w:rPr>
          <w:rFonts w:eastAsia="Calibri" w:cs="Times New Roman"/>
          <w:szCs w:val="24"/>
          <w:lang w:eastAsia="lv-LV"/>
        </w:rPr>
        <w:t>Līguma izpildes nodrošināšanai Iznomātājam kā pārzinim ir tiesības nodot Nomnieka datus medību tiesību izlietotājam.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3"/>
    <w:p w:rsidR="00EA24E6" w:rsidRDefault="00EA24E6" w:rsidP="00EA24E6">
      <w:pPr>
        <w:spacing w:after="0" w:afterAutospacing="0"/>
        <w:ind w:left="567"/>
        <w:jc w:val="both"/>
        <w:rPr>
          <w:rFonts w:eastAsia="Calibri" w:cs="Times New Roman"/>
          <w:szCs w:val="24"/>
          <w:lang w:eastAsia="lv-LV"/>
        </w:rPr>
      </w:pPr>
    </w:p>
    <w:bookmarkEnd w:id="4"/>
    <w:p w:rsidR="00EA24E6" w:rsidRDefault="00EA24E6" w:rsidP="00EA24E6">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EA24E6" w:rsidRDefault="00EA24E6" w:rsidP="00EA24E6">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rsidR="00EA24E6" w:rsidRDefault="00EA24E6" w:rsidP="00EA24E6">
      <w:pPr>
        <w:tabs>
          <w:tab w:val="left" w:pos="567"/>
        </w:tabs>
        <w:spacing w:after="0" w:afterAutospacing="0"/>
        <w:ind w:left="360"/>
        <w:contextualSpacing/>
        <w:jc w:val="both"/>
        <w:rPr>
          <w:rFonts w:eastAsia="Calibri" w:cs="Times New Roman"/>
          <w:szCs w:val="24"/>
          <w:lang w:eastAsia="lv-LV"/>
        </w:rPr>
      </w:pPr>
    </w:p>
    <w:p w:rsidR="00EA24E6" w:rsidRDefault="00EA24E6" w:rsidP="00EA24E6">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EA24E6" w:rsidRDefault="00EA24E6" w:rsidP="00EA24E6">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EA24E6" w:rsidRDefault="00EA24E6" w:rsidP="00EA24E6">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EA24E6" w:rsidRDefault="00EA24E6" w:rsidP="00EA24E6">
      <w:pPr>
        <w:spacing w:after="0" w:afterAutospacing="0"/>
        <w:jc w:val="both"/>
        <w:rPr>
          <w:rFonts w:eastAsia="Calibri" w:cs="Times New Roman"/>
          <w:szCs w:val="24"/>
          <w:lang w:eastAsia="lv-LV"/>
        </w:rPr>
      </w:pPr>
    </w:p>
    <w:p w:rsidR="00EA24E6" w:rsidRDefault="00EA24E6" w:rsidP="00EA24E6">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EA24E6" w:rsidRDefault="00EA24E6" w:rsidP="00EA24E6">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EA24E6" w:rsidRDefault="00EA24E6" w:rsidP="00EA24E6">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EA24E6" w:rsidRDefault="00EA24E6" w:rsidP="00EA24E6">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EA24E6" w:rsidRDefault="00EA24E6" w:rsidP="00EA24E6">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EA24E6" w:rsidRDefault="00EA24E6" w:rsidP="00EA24E6">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EA24E6" w:rsidRDefault="00EA24E6" w:rsidP="00EA24E6">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EA24E6" w:rsidRDefault="00EA24E6" w:rsidP="00EA24E6">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EA24E6" w:rsidRDefault="00EA24E6" w:rsidP="00EA24E6">
      <w:pPr>
        <w:spacing w:after="0" w:afterAutospacing="0"/>
        <w:contextualSpacing/>
        <w:jc w:val="both"/>
        <w:rPr>
          <w:rFonts w:eastAsia="Calibri" w:cs="Times New Roman"/>
          <w:bCs/>
          <w:szCs w:val="24"/>
          <w:lang w:eastAsia="lv-LV"/>
        </w:rPr>
      </w:pPr>
    </w:p>
    <w:p w:rsidR="00EA24E6" w:rsidRDefault="00EA24E6" w:rsidP="00EA24E6">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EA24E6" w:rsidRDefault="00EA24E6" w:rsidP="00EA24E6">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EA24E6" w:rsidRDefault="00EA24E6" w:rsidP="00EA24E6">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EA24E6" w:rsidRDefault="00EA24E6" w:rsidP="00EA24E6">
      <w:pPr>
        <w:spacing w:after="0" w:afterAutospacing="0" w:line="252" w:lineRule="auto"/>
        <w:ind w:left="567"/>
        <w:jc w:val="both"/>
        <w:rPr>
          <w:rFonts w:eastAsia="Calibri" w:cs="Times New Roman"/>
          <w:szCs w:val="24"/>
          <w:lang w:eastAsia="lv-LV"/>
        </w:rPr>
      </w:pPr>
    </w:p>
    <w:p w:rsidR="00EA24E6" w:rsidRDefault="00EA24E6" w:rsidP="00EA24E6">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EA24E6" w:rsidTr="00EA24E6">
        <w:trPr>
          <w:gridBefore w:val="1"/>
          <w:wBefore w:w="108" w:type="dxa"/>
        </w:trPr>
        <w:tc>
          <w:tcPr>
            <w:tcW w:w="4101" w:type="dxa"/>
          </w:tcPr>
          <w:p w:rsidR="00EA24E6" w:rsidRDefault="00EA24E6">
            <w:pPr>
              <w:spacing w:after="0" w:afterAutospacing="0" w:line="252" w:lineRule="auto"/>
              <w:jc w:val="both"/>
              <w:rPr>
                <w:rFonts w:eastAsia="Times New Roman" w:cs="Times New Roman"/>
                <w:b/>
                <w:bCs/>
                <w:szCs w:val="24"/>
              </w:rPr>
            </w:pPr>
          </w:p>
        </w:tc>
        <w:tc>
          <w:tcPr>
            <w:tcW w:w="287" w:type="dxa"/>
          </w:tcPr>
          <w:p w:rsidR="00EA24E6" w:rsidRDefault="00EA24E6">
            <w:pPr>
              <w:spacing w:after="0" w:afterAutospacing="0" w:line="252" w:lineRule="auto"/>
              <w:jc w:val="center"/>
              <w:rPr>
                <w:rFonts w:eastAsia="Times New Roman" w:cs="Times New Roman"/>
                <w:b/>
                <w:bCs/>
                <w:szCs w:val="24"/>
              </w:rPr>
            </w:pPr>
          </w:p>
        </w:tc>
        <w:tc>
          <w:tcPr>
            <w:tcW w:w="4968" w:type="dxa"/>
            <w:gridSpan w:val="4"/>
          </w:tcPr>
          <w:p w:rsidR="00EA24E6" w:rsidRDefault="00EA24E6">
            <w:pPr>
              <w:spacing w:after="0" w:afterAutospacing="0" w:line="252" w:lineRule="auto"/>
              <w:jc w:val="both"/>
              <w:rPr>
                <w:rFonts w:eastAsia="Times New Roman" w:cs="Times New Roman"/>
                <w:b/>
                <w:bCs/>
                <w:szCs w:val="24"/>
              </w:rPr>
            </w:pPr>
          </w:p>
        </w:tc>
      </w:tr>
      <w:tr w:rsidR="00EA24E6" w:rsidTr="00EA24E6">
        <w:trPr>
          <w:gridAfter w:val="1"/>
          <w:wAfter w:w="177" w:type="dxa"/>
        </w:trPr>
        <w:tc>
          <w:tcPr>
            <w:tcW w:w="4503" w:type="dxa"/>
            <w:gridSpan w:val="4"/>
          </w:tcPr>
          <w:p w:rsidR="00EA24E6" w:rsidRDefault="00EA24E6">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EA24E6" w:rsidRDefault="00EA24E6">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EA24E6" w:rsidRDefault="00EA24E6">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EA24E6" w:rsidRDefault="00EA24E6">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EA24E6" w:rsidRDefault="00EA24E6">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EA24E6" w:rsidRDefault="00EA24E6">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EA24E6" w:rsidRDefault="00EA24E6">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EA24E6" w:rsidRDefault="00EA24E6">
            <w:pPr>
              <w:spacing w:after="0" w:afterAutospacing="0" w:line="252" w:lineRule="auto"/>
              <w:jc w:val="both"/>
              <w:rPr>
                <w:rFonts w:eastAsia="Calibri" w:cs="Times New Roman"/>
                <w:b/>
                <w:kern w:val="2"/>
                <w:szCs w:val="24"/>
                <w14:ligatures w14:val="standardContextual"/>
              </w:rPr>
            </w:pPr>
          </w:p>
        </w:tc>
        <w:tc>
          <w:tcPr>
            <w:tcW w:w="708" w:type="dxa"/>
          </w:tcPr>
          <w:p w:rsidR="00EA24E6" w:rsidRDefault="00EA24E6">
            <w:pPr>
              <w:spacing w:after="0" w:afterAutospacing="0" w:line="252" w:lineRule="auto"/>
              <w:jc w:val="center"/>
              <w:rPr>
                <w:rFonts w:eastAsia="Calibri" w:cs="Times New Roman"/>
                <w:b/>
                <w:kern w:val="2"/>
                <w:szCs w:val="24"/>
                <w14:ligatures w14:val="standardContextual"/>
              </w:rPr>
            </w:pPr>
          </w:p>
        </w:tc>
        <w:tc>
          <w:tcPr>
            <w:tcW w:w="4076" w:type="dxa"/>
          </w:tcPr>
          <w:p w:rsidR="00EA24E6" w:rsidRDefault="00EA24E6">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kern w:val="2"/>
                <w:szCs w:val="24"/>
                <w14:ligatures w14:val="standardContextual"/>
              </w:rPr>
            </w:pPr>
          </w:p>
          <w:p w:rsidR="00EA24E6" w:rsidRDefault="00EA24E6">
            <w:pPr>
              <w:spacing w:after="0" w:afterAutospacing="0" w:line="252" w:lineRule="auto"/>
              <w:jc w:val="center"/>
              <w:rPr>
                <w:rFonts w:eastAsia="Calibri" w:cs="Times New Roman"/>
                <w:b/>
                <w:kern w:val="2"/>
                <w:szCs w:val="24"/>
                <w14:ligatures w14:val="standardContextual"/>
              </w:rPr>
            </w:pPr>
          </w:p>
        </w:tc>
      </w:tr>
    </w:tbl>
    <w:p w:rsidR="00B117D8" w:rsidRDefault="00B117D8">
      <w:bookmarkStart w:id="5" w:name="_GoBack"/>
      <w:bookmarkEnd w:id="5"/>
    </w:p>
    <w:sectPr w:rsidR="00B117D8" w:rsidSect="00EA24E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4D0B5526"/>
    <w:multiLevelType w:val="hybridMultilevel"/>
    <w:tmpl w:val="9CD644FC"/>
    <w:lvl w:ilvl="0" w:tplc="87EAB998">
      <w:numFmt w:val="bullet"/>
      <w:lvlText w:val="-"/>
      <w:lvlJc w:val="left"/>
      <w:pPr>
        <w:ind w:left="1164" w:hanging="360"/>
      </w:pPr>
      <w:rPr>
        <w:rFonts w:ascii="Times New Roman" w:eastAsia="Calibri" w:hAnsi="Times New Roman" w:cs="Times New Roman" w:hint="default"/>
      </w:rPr>
    </w:lvl>
    <w:lvl w:ilvl="1" w:tplc="04260003" w:tentative="1">
      <w:start w:val="1"/>
      <w:numFmt w:val="bullet"/>
      <w:lvlText w:val="o"/>
      <w:lvlJc w:val="left"/>
      <w:pPr>
        <w:ind w:left="1884" w:hanging="360"/>
      </w:pPr>
      <w:rPr>
        <w:rFonts w:ascii="Courier New" w:hAnsi="Courier New" w:cs="Courier New" w:hint="default"/>
      </w:rPr>
    </w:lvl>
    <w:lvl w:ilvl="2" w:tplc="04260005" w:tentative="1">
      <w:start w:val="1"/>
      <w:numFmt w:val="bullet"/>
      <w:lvlText w:val=""/>
      <w:lvlJc w:val="left"/>
      <w:pPr>
        <w:ind w:left="2604" w:hanging="360"/>
      </w:pPr>
      <w:rPr>
        <w:rFonts w:ascii="Wingdings" w:hAnsi="Wingdings" w:hint="default"/>
      </w:rPr>
    </w:lvl>
    <w:lvl w:ilvl="3" w:tplc="04260001" w:tentative="1">
      <w:start w:val="1"/>
      <w:numFmt w:val="bullet"/>
      <w:lvlText w:val=""/>
      <w:lvlJc w:val="left"/>
      <w:pPr>
        <w:ind w:left="3324" w:hanging="360"/>
      </w:pPr>
      <w:rPr>
        <w:rFonts w:ascii="Symbol" w:hAnsi="Symbol" w:hint="default"/>
      </w:rPr>
    </w:lvl>
    <w:lvl w:ilvl="4" w:tplc="04260003" w:tentative="1">
      <w:start w:val="1"/>
      <w:numFmt w:val="bullet"/>
      <w:lvlText w:val="o"/>
      <w:lvlJc w:val="left"/>
      <w:pPr>
        <w:ind w:left="4044" w:hanging="360"/>
      </w:pPr>
      <w:rPr>
        <w:rFonts w:ascii="Courier New" w:hAnsi="Courier New" w:cs="Courier New" w:hint="default"/>
      </w:rPr>
    </w:lvl>
    <w:lvl w:ilvl="5" w:tplc="04260005" w:tentative="1">
      <w:start w:val="1"/>
      <w:numFmt w:val="bullet"/>
      <w:lvlText w:val=""/>
      <w:lvlJc w:val="left"/>
      <w:pPr>
        <w:ind w:left="4764" w:hanging="360"/>
      </w:pPr>
      <w:rPr>
        <w:rFonts w:ascii="Wingdings" w:hAnsi="Wingdings" w:hint="default"/>
      </w:rPr>
    </w:lvl>
    <w:lvl w:ilvl="6" w:tplc="04260001" w:tentative="1">
      <w:start w:val="1"/>
      <w:numFmt w:val="bullet"/>
      <w:lvlText w:val=""/>
      <w:lvlJc w:val="left"/>
      <w:pPr>
        <w:ind w:left="5484" w:hanging="360"/>
      </w:pPr>
      <w:rPr>
        <w:rFonts w:ascii="Symbol" w:hAnsi="Symbol" w:hint="default"/>
      </w:rPr>
    </w:lvl>
    <w:lvl w:ilvl="7" w:tplc="04260003" w:tentative="1">
      <w:start w:val="1"/>
      <w:numFmt w:val="bullet"/>
      <w:lvlText w:val="o"/>
      <w:lvlJc w:val="left"/>
      <w:pPr>
        <w:ind w:left="6204" w:hanging="360"/>
      </w:pPr>
      <w:rPr>
        <w:rFonts w:ascii="Courier New" w:hAnsi="Courier New" w:cs="Courier New" w:hint="default"/>
      </w:rPr>
    </w:lvl>
    <w:lvl w:ilvl="8" w:tplc="04260005" w:tentative="1">
      <w:start w:val="1"/>
      <w:numFmt w:val="bullet"/>
      <w:lvlText w:val=""/>
      <w:lvlJc w:val="left"/>
      <w:pPr>
        <w:ind w:left="6924" w:hanging="360"/>
      </w:pPr>
      <w:rPr>
        <w:rFonts w:ascii="Wingdings" w:hAnsi="Wingdings" w:hint="default"/>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E9D58A4"/>
    <w:multiLevelType w:val="hybridMultilevel"/>
    <w:tmpl w:val="5B148F54"/>
    <w:lvl w:ilvl="0" w:tplc="8A682F8C">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3C"/>
    <w:rsid w:val="00571F48"/>
    <w:rsid w:val="00B117D8"/>
    <w:rsid w:val="00DA1D3C"/>
    <w:rsid w:val="00EA2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B3B7D-6BE1-4116-BAAD-119605F5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24E6"/>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A24E6"/>
    <w:rPr>
      <w:color w:val="0563C1" w:themeColor="hyperlink"/>
      <w:u w:val="single"/>
    </w:rPr>
  </w:style>
  <w:style w:type="paragraph" w:styleId="Sarakstarindkopa">
    <w:name w:val="List Paragraph"/>
    <w:basedOn w:val="Parasts"/>
    <w:uiPriority w:val="34"/>
    <w:qFormat/>
    <w:rsid w:val="00EA24E6"/>
    <w:pPr>
      <w:spacing w:after="0" w:afterAutospacing="0"/>
      <w:ind w:left="720"/>
      <w:contextualSpacing/>
    </w:pPr>
    <w:rPr>
      <w:rFonts w:eastAsia="Times New Roman" w:cs="Times New Roman"/>
      <w:sz w:val="20"/>
      <w:szCs w:val="20"/>
      <w:lang w:eastAsia="lv-LV"/>
    </w:rPr>
  </w:style>
  <w:style w:type="paragraph" w:styleId="Balonteksts">
    <w:name w:val="Balloon Text"/>
    <w:basedOn w:val="Parasts"/>
    <w:link w:val="BalontekstsRakstz"/>
    <w:uiPriority w:val="99"/>
    <w:semiHidden/>
    <w:unhideWhenUsed/>
    <w:rsid w:val="00571F4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9404</Words>
  <Characters>5361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cp:lastPrinted>2024-02-29T14:01:00Z</cp:lastPrinted>
  <dcterms:created xsi:type="dcterms:W3CDTF">2024-01-11T14:09:00Z</dcterms:created>
  <dcterms:modified xsi:type="dcterms:W3CDTF">2024-02-29T14:01:00Z</dcterms:modified>
</cp:coreProperties>
</file>