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1E0C" w14:textId="77777777" w:rsidR="009966B5" w:rsidRPr="00511DEF" w:rsidRDefault="009966B5" w:rsidP="009966B5">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PROJEKTS</w:t>
      </w:r>
    </w:p>
    <w:p w14:paraId="0A0DA707" w14:textId="77777777" w:rsidR="009966B5" w:rsidRPr="00511DEF" w:rsidRDefault="009966B5" w:rsidP="009966B5">
      <w:pPr>
        <w:spacing w:after="0" w:line="240" w:lineRule="auto"/>
        <w:ind w:right="-483"/>
        <w:jc w:val="center"/>
        <w:rPr>
          <w:rFonts w:eastAsia="Times New Roman" w:cs="Times New Roman"/>
          <w:b/>
          <w:szCs w:val="24"/>
          <w:lang w:val="lv-LV" w:eastAsia="lv-LV"/>
        </w:rPr>
      </w:pPr>
    </w:p>
    <w:p w14:paraId="48CD63FA" w14:textId="77777777" w:rsidR="009966B5" w:rsidRPr="00511DEF" w:rsidRDefault="009966B5" w:rsidP="009966B5">
      <w:pPr>
        <w:spacing w:after="0" w:line="240" w:lineRule="auto"/>
        <w:ind w:right="-483"/>
        <w:jc w:val="center"/>
        <w:rPr>
          <w:rFonts w:eastAsia="Times New Roman" w:cs="Times New Roman"/>
          <w:b/>
          <w:szCs w:val="24"/>
          <w:lang w:val="lv-LV" w:eastAsia="lv-LV"/>
        </w:rPr>
      </w:pPr>
    </w:p>
    <w:p w14:paraId="0A813CA6" w14:textId="77777777" w:rsidR="009966B5" w:rsidRPr="00511DEF" w:rsidRDefault="009966B5" w:rsidP="009966B5">
      <w:pPr>
        <w:spacing w:after="0" w:line="240" w:lineRule="auto"/>
        <w:ind w:right="-483"/>
        <w:jc w:val="right"/>
        <w:rPr>
          <w:rFonts w:eastAsia="Times New Roman" w:cs="Times New Roman"/>
          <w:b/>
          <w:szCs w:val="24"/>
          <w:lang w:val="lv-LV" w:eastAsia="lv-LV"/>
        </w:rPr>
      </w:pPr>
      <w:r w:rsidRPr="00511DEF">
        <w:rPr>
          <w:rFonts w:eastAsia="Times New Roman" w:cs="Times New Roman"/>
          <w:b/>
          <w:szCs w:val="24"/>
          <w:lang w:val="lv-LV" w:eastAsia="lv-LV"/>
        </w:rPr>
        <w:t>Saistošie noteikumi Nr._____________</w:t>
      </w:r>
    </w:p>
    <w:p w14:paraId="1B006314" w14:textId="77777777" w:rsidR="009966B5" w:rsidRPr="00511DEF" w:rsidRDefault="009966B5" w:rsidP="009966B5">
      <w:pPr>
        <w:spacing w:after="0" w:line="240" w:lineRule="auto"/>
        <w:ind w:right="-483"/>
        <w:jc w:val="right"/>
        <w:rPr>
          <w:rFonts w:eastAsia="Times New Roman" w:cs="Times New Roman"/>
          <w:szCs w:val="24"/>
          <w:lang w:val="lv-LV" w:eastAsia="lv-LV"/>
        </w:rPr>
      </w:pPr>
      <w:r w:rsidRPr="00511DEF">
        <w:rPr>
          <w:rFonts w:eastAsia="Times New Roman" w:cs="Times New Roman"/>
          <w:szCs w:val="24"/>
          <w:lang w:val="lv-LV" w:eastAsia="lv-LV"/>
        </w:rPr>
        <w:t>(protokols  Nr.____, ______)</w:t>
      </w:r>
    </w:p>
    <w:p w14:paraId="78E5C7A2" w14:textId="77777777" w:rsidR="009966B5" w:rsidRPr="00511DEF" w:rsidRDefault="009966B5" w:rsidP="009966B5">
      <w:pPr>
        <w:spacing w:after="0" w:line="240" w:lineRule="auto"/>
        <w:ind w:right="-483"/>
        <w:rPr>
          <w:rFonts w:eastAsia="Times New Roman" w:cs="Times New Roman"/>
          <w:b/>
          <w:szCs w:val="24"/>
          <w:lang w:val="lv-LV" w:eastAsia="lv-LV"/>
        </w:rPr>
      </w:pPr>
    </w:p>
    <w:p w14:paraId="22289C19" w14:textId="77777777" w:rsidR="009966B5" w:rsidRPr="00511DEF" w:rsidRDefault="009966B5" w:rsidP="009966B5">
      <w:pPr>
        <w:spacing w:after="0" w:line="240" w:lineRule="auto"/>
        <w:ind w:right="-483"/>
        <w:jc w:val="center"/>
        <w:rPr>
          <w:rFonts w:eastAsia="Times New Roman" w:cs="Times New Roman"/>
          <w:b/>
          <w:szCs w:val="24"/>
          <w:lang w:val="lv-LV" w:eastAsia="lv-LV"/>
        </w:rPr>
      </w:pPr>
      <w:r w:rsidRPr="00511DEF">
        <w:rPr>
          <w:rFonts w:eastAsia="Times New Roman" w:cs="Times New Roman"/>
          <w:b/>
          <w:szCs w:val="24"/>
          <w:lang w:val="lv-LV" w:eastAsia="lv-LV"/>
        </w:rPr>
        <w:t>Par valsts nodevu atvieglojumiem</w:t>
      </w:r>
    </w:p>
    <w:p w14:paraId="0AF92382" w14:textId="77777777" w:rsidR="009966B5" w:rsidRPr="00511DEF" w:rsidRDefault="009966B5" w:rsidP="009966B5">
      <w:pPr>
        <w:spacing w:after="0" w:line="240" w:lineRule="auto"/>
        <w:ind w:right="-483"/>
        <w:jc w:val="center"/>
        <w:rPr>
          <w:rFonts w:eastAsia="Times New Roman" w:cs="Times New Roman"/>
          <w:b/>
          <w:color w:val="000000"/>
          <w:szCs w:val="24"/>
          <w:lang w:val="lv-LV" w:eastAsia="lv-LV"/>
        </w:rPr>
      </w:pPr>
      <w:r w:rsidRPr="00511DEF">
        <w:rPr>
          <w:rFonts w:eastAsia="Times New Roman" w:cs="Times New Roman"/>
          <w:b/>
          <w:szCs w:val="24"/>
          <w:lang w:val="lv-LV" w:eastAsia="lv-LV"/>
        </w:rPr>
        <w:t>bāriņtiesas pakalpojumiem Alūksnes novadā</w:t>
      </w:r>
    </w:p>
    <w:p w14:paraId="64D56AEF" w14:textId="77777777" w:rsidR="009966B5" w:rsidRPr="00511DEF" w:rsidRDefault="009966B5" w:rsidP="009966B5">
      <w:pPr>
        <w:spacing w:after="0" w:line="240" w:lineRule="auto"/>
        <w:ind w:right="-483"/>
        <w:rPr>
          <w:rFonts w:eastAsia="Times New Roman" w:cs="Times New Roman"/>
          <w:b/>
          <w:color w:val="000000"/>
          <w:szCs w:val="24"/>
          <w:lang w:val="lv-LV" w:eastAsia="lv-LV"/>
        </w:rPr>
      </w:pPr>
    </w:p>
    <w:p w14:paraId="6A7439C6" w14:textId="77777777" w:rsidR="009966B5" w:rsidRPr="00511DEF" w:rsidRDefault="009966B5" w:rsidP="009966B5">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 xml:space="preserve">Izdoti saskaņā ar </w:t>
      </w:r>
      <w:bookmarkStart w:id="0" w:name="_Hlk164674206"/>
      <w:r w:rsidRPr="00511DEF">
        <w:rPr>
          <w:rFonts w:eastAsia="Times New Roman" w:cs="Times New Roman"/>
          <w:bCs/>
          <w:i/>
          <w:iCs/>
          <w:color w:val="000000"/>
          <w:szCs w:val="24"/>
          <w:lang w:val="lv-LV" w:eastAsia="lv-LV"/>
        </w:rPr>
        <w:t xml:space="preserve">Pašvaldību likuma 44. panta otro daļu, likuma </w:t>
      </w:r>
    </w:p>
    <w:p w14:paraId="07D950CD" w14:textId="77777777" w:rsidR="009966B5" w:rsidRPr="00511DEF" w:rsidRDefault="009966B5" w:rsidP="009966B5">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 xml:space="preserve">“Par nodokļiem un nodevām” </w:t>
      </w:r>
    </w:p>
    <w:p w14:paraId="36FD8338" w14:textId="77777777" w:rsidR="009966B5" w:rsidRPr="00511DEF" w:rsidRDefault="009966B5" w:rsidP="009966B5">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3. panta trešo daļu</w:t>
      </w:r>
      <w:r>
        <w:rPr>
          <w:rFonts w:eastAsia="Times New Roman" w:cs="Times New Roman"/>
          <w:bCs/>
          <w:i/>
          <w:iCs/>
          <w:color w:val="000000"/>
          <w:szCs w:val="24"/>
          <w:lang w:val="lv-LV" w:eastAsia="lv-LV"/>
        </w:rPr>
        <w:t>,</w:t>
      </w:r>
    </w:p>
    <w:p w14:paraId="369FBE68" w14:textId="77777777" w:rsidR="009966B5" w:rsidRPr="00511DEF" w:rsidRDefault="009966B5" w:rsidP="009966B5">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Bāriņtiesu likuma 79. panta otro daļu</w:t>
      </w:r>
    </w:p>
    <w:bookmarkEnd w:id="0"/>
    <w:p w14:paraId="29586510" w14:textId="77777777" w:rsidR="009966B5" w:rsidRPr="00511DEF" w:rsidRDefault="009966B5" w:rsidP="009966B5">
      <w:pPr>
        <w:spacing w:after="0" w:line="240" w:lineRule="auto"/>
        <w:ind w:right="-483"/>
        <w:rPr>
          <w:rFonts w:eastAsia="Times New Roman" w:cs="Times New Roman"/>
          <w:bCs/>
          <w:i/>
          <w:iCs/>
          <w:color w:val="000000"/>
          <w:szCs w:val="24"/>
          <w:lang w:val="lv-LV" w:eastAsia="lv-LV"/>
        </w:rPr>
      </w:pPr>
    </w:p>
    <w:p w14:paraId="3F29E304" w14:textId="77777777" w:rsidR="009966B5" w:rsidRPr="00511DEF" w:rsidRDefault="009966B5" w:rsidP="009966B5">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Saistošie noteikumi “Par valsts nodevu atvieglojumiem bāriņtiesas pakalpojumiem Alūksnes novadā” nosaka valsts nodevu par bāriņtiesas pakalpojumiem atvieglojumus un personu kategorijas, kurām atvieglojumi tiek piemēroti.</w:t>
      </w:r>
    </w:p>
    <w:p w14:paraId="44F6DFE1" w14:textId="77777777" w:rsidR="009966B5" w:rsidRPr="00511DEF" w:rsidRDefault="009966B5" w:rsidP="009966B5">
      <w:pPr>
        <w:pStyle w:val="Sarakstarindkopa"/>
        <w:spacing w:after="0" w:line="240" w:lineRule="auto"/>
        <w:ind w:right="-483"/>
        <w:jc w:val="both"/>
        <w:rPr>
          <w:rFonts w:cs="Times New Roman"/>
          <w:szCs w:val="24"/>
          <w:lang w:val="lv-LV"/>
        </w:rPr>
      </w:pPr>
    </w:p>
    <w:p w14:paraId="4DF782E5" w14:textId="77777777" w:rsidR="009966B5" w:rsidRPr="00511DEF" w:rsidRDefault="009966B5" w:rsidP="009966B5">
      <w:pPr>
        <w:pStyle w:val="Sarakstarindkopa"/>
        <w:numPr>
          <w:ilvl w:val="0"/>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Ir noteikts šāds valsts nodevas atvieglojums: par mantojuma saraksta sastādīšanu 100% apmērā:</w:t>
      </w:r>
    </w:p>
    <w:p w14:paraId="2B6561F6" w14:textId="77777777" w:rsidR="009966B5" w:rsidRPr="00511DEF" w:rsidRDefault="009966B5" w:rsidP="009966B5">
      <w:pPr>
        <w:pStyle w:val="Sarakstarindkopa"/>
        <w:numPr>
          <w:ilvl w:val="1"/>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 xml:space="preserve"> nepilngadīgajiem (ja mantojums tiek pieņemts nepilngadīgā vārdā); </w:t>
      </w:r>
    </w:p>
    <w:p w14:paraId="6B6BDAE1" w14:textId="21CB36F7" w:rsidR="009966B5" w:rsidRPr="00511DEF" w:rsidRDefault="009966B5" w:rsidP="009966B5">
      <w:pPr>
        <w:pStyle w:val="Paraststmeklis"/>
        <w:shd w:val="clear" w:color="auto" w:fill="FFFFFF"/>
        <w:spacing w:before="0" w:beforeAutospacing="0" w:after="0" w:afterAutospacing="0"/>
        <w:ind w:left="720"/>
        <w:rPr>
          <w:color w:val="000000" w:themeColor="text1"/>
        </w:rPr>
      </w:pPr>
      <w:r w:rsidRPr="00511DEF">
        <w:rPr>
          <w:color w:val="000000" w:themeColor="text1"/>
        </w:rPr>
        <w:t>2.2. personām ar trūcīgas mājsaimniecības statusu;</w:t>
      </w:r>
    </w:p>
    <w:p w14:paraId="23B8D2A4" w14:textId="77777777" w:rsidR="009966B5" w:rsidRPr="00511DEF" w:rsidRDefault="009966B5" w:rsidP="009966B5">
      <w:pPr>
        <w:pStyle w:val="Paraststmeklis"/>
        <w:shd w:val="clear" w:color="auto" w:fill="FFFFFF"/>
        <w:spacing w:before="0" w:beforeAutospacing="0" w:after="0" w:afterAutospacing="0"/>
        <w:ind w:left="720"/>
        <w:rPr>
          <w:color w:val="000000" w:themeColor="text1"/>
        </w:rPr>
      </w:pPr>
      <w:r w:rsidRPr="00511DEF">
        <w:rPr>
          <w:color w:val="000000" w:themeColor="text1"/>
        </w:rPr>
        <w:t>2.3. personām ar maznodrošinātas mājsaimniecības statusu;</w:t>
      </w:r>
    </w:p>
    <w:p w14:paraId="04759C72" w14:textId="0BA47D89" w:rsidR="009966B5" w:rsidRDefault="009966B5" w:rsidP="009966B5">
      <w:pPr>
        <w:pStyle w:val="Paraststmeklis"/>
        <w:shd w:val="clear" w:color="auto" w:fill="FFFFFF"/>
        <w:spacing w:before="0" w:beforeAutospacing="0" w:after="0" w:afterAutospacing="0"/>
        <w:ind w:left="720"/>
        <w:rPr>
          <w:color w:val="000000" w:themeColor="text1"/>
        </w:rPr>
      </w:pPr>
      <w:r w:rsidRPr="00511DEF">
        <w:rPr>
          <w:color w:val="000000" w:themeColor="text1"/>
        </w:rPr>
        <w:t>2.4. personām ar invaliditāti (neatkarīgi no invaliditātes grupas)</w:t>
      </w:r>
      <w:r>
        <w:rPr>
          <w:color w:val="000000" w:themeColor="text1"/>
        </w:rPr>
        <w:t>.</w:t>
      </w:r>
    </w:p>
    <w:p w14:paraId="4070B375" w14:textId="77777777" w:rsidR="009966B5" w:rsidRPr="00511DEF" w:rsidRDefault="009966B5" w:rsidP="009966B5">
      <w:pPr>
        <w:pStyle w:val="Paraststmeklis"/>
        <w:shd w:val="clear" w:color="auto" w:fill="FFFFFF"/>
        <w:spacing w:before="0" w:beforeAutospacing="0" w:after="0" w:afterAutospacing="0"/>
        <w:ind w:left="720"/>
        <w:rPr>
          <w:color w:val="000000" w:themeColor="text1"/>
        </w:rPr>
      </w:pPr>
    </w:p>
    <w:p w14:paraId="2EFF841A" w14:textId="77777777" w:rsidR="009966B5" w:rsidRPr="00511DEF" w:rsidRDefault="009966B5" w:rsidP="009966B5">
      <w:pPr>
        <w:pStyle w:val="Sarakstarindkopa"/>
        <w:numPr>
          <w:ilvl w:val="0"/>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Valsts nodevas atvieglojumu piemēro Alūksnes novada bāriņtiesa.</w:t>
      </w:r>
    </w:p>
    <w:p w14:paraId="1B7BA640" w14:textId="77777777" w:rsidR="009966B5" w:rsidRPr="00511DEF" w:rsidRDefault="009966B5" w:rsidP="009966B5">
      <w:pPr>
        <w:pStyle w:val="Sarakstarindkopa"/>
        <w:spacing w:after="0" w:line="240" w:lineRule="auto"/>
        <w:ind w:right="-483"/>
        <w:jc w:val="both"/>
        <w:rPr>
          <w:rFonts w:cs="Times New Roman"/>
          <w:szCs w:val="24"/>
          <w:lang w:val="lv-LV"/>
        </w:rPr>
      </w:pPr>
    </w:p>
    <w:p w14:paraId="79EC3D36" w14:textId="6D17F3BE" w:rsidR="009966B5" w:rsidRPr="009966B5" w:rsidRDefault="009966B5" w:rsidP="009966B5">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Lai saņemtu saistošo noteikumu 2.punktā noteikto valsts nodevas atvieglojumu, personai Alūksnes novada bāriņtiesā jāuzrāda viens no šādiem dokumentiem:</w:t>
      </w:r>
    </w:p>
    <w:p w14:paraId="76F540D1" w14:textId="77777777" w:rsidR="009966B5" w:rsidRPr="00511DEF" w:rsidRDefault="009966B5" w:rsidP="009966B5">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 xml:space="preserve"> Alūksnes novada Sociālo lietu pārvaldes izsniegta izziņa par trūcīgas mājsaimniecības (personas) statusa piešķiršanu;</w:t>
      </w:r>
    </w:p>
    <w:p w14:paraId="39C48A09" w14:textId="77777777" w:rsidR="009966B5" w:rsidRPr="00511DEF" w:rsidRDefault="009966B5" w:rsidP="009966B5">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 xml:space="preserve"> Alūksnes novada Sociālo lietu pārvaldes izsniegta izziņa par maznodrošinātas mājsaimniecības (personas) statusa piešķiršanu;</w:t>
      </w:r>
    </w:p>
    <w:p w14:paraId="43F05BB4" w14:textId="77777777" w:rsidR="009966B5" w:rsidRPr="00511DEF" w:rsidRDefault="009966B5" w:rsidP="009966B5">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Invaliditāti apliecinošu dokumentu.</w:t>
      </w:r>
    </w:p>
    <w:p w14:paraId="76FAD976" w14:textId="77777777" w:rsidR="009966B5" w:rsidRPr="00511DEF" w:rsidRDefault="009966B5" w:rsidP="009966B5">
      <w:pPr>
        <w:pStyle w:val="Sarakstarindkopa"/>
        <w:spacing w:after="0" w:line="240" w:lineRule="auto"/>
        <w:ind w:left="1080" w:right="-483"/>
        <w:jc w:val="both"/>
        <w:rPr>
          <w:rFonts w:cs="Times New Roman"/>
          <w:szCs w:val="24"/>
          <w:lang w:val="lv-LV"/>
        </w:rPr>
      </w:pPr>
    </w:p>
    <w:p w14:paraId="1075723D" w14:textId="77777777" w:rsidR="009966B5" w:rsidRPr="00511DEF" w:rsidRDefault="009966B5" w:rsidP="009966B5">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Atteikumu piemērot valsts nodevas atvieglojumus var apstrīdēt, iesniedzot rakstveida vai mutisku iesniegumu Alūksnes novada bāriņtiesā, kura nosūta iesniegumu izskatīšanai Alūksnes novada domei. Domes atteikumu piemērot valsts nodevas atvieglojumus var pārsūdzēt Administratīvajā rajona tiesā Administratīvā procesa likuma noteiktajā kārtībā.</w:t>
      </w:r>
    </w:p>
    <w:p w14:paraId="04AC5712" w14:textId="77777777" w:rsidR="009966B5" w:rsidRPr="00511DEF" w:rsidRDefault="009966B5" w:rsidP="009966B5">
      <w:pPr>
        <w:pStyle w:val="Sarakstarindkopa"/>
        <w:spacing w:after="0" w:line="240" w:lineRule="auto"/>
        <w:ind w:right="-483"/>
        <w:jc w:val="both"/>
        <w:rPr>
          <w:rFonts w:cs="Times New Roman"/>
          <w:szCs w:val="24"/>
          <w:lang w:val="lv-LV"/>
        </w:rPr>
      </w:pPr>
    </w:p>
    <w:p w14:paraId="6294F6E6" w14:textId="77777777" w:rsidR="009966B5" w:rsidRPr="00511DEF" w:rsidRDefault="009966B5" w:rsidP="009966B5">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Atzīt par spēku zaudējušiem Alūksnes novada pašvaldības domes 2010. gada 29. jūlija saistošos noteikumus Nr. 27/2010 “Par valsts nodevu atvieglojumiem bāriņtiesas pakalpojumiem Alūksnes novadā”.</w:t>
      </w:r>
    </w:p>
    <w:p w14:paraId="07D0B996" w14:textId="77777777" w:rsidR="009966B5" w:rsidRPr="00511DEF" w:rsidRDefault="009966B5" w:rsidP="009966B5">
      <w:pPr>
        <w:spacing w:after="0" w:line="240" w:lineRule="auto"/>
        <w:ind w:right="-483"/>
        <w:jc w:val="both"/>
        <w:rPr>
          <w:lang w:val="lv-LV"/>
        </w:rPr>
      </w:pPr>
    </w:p>
    <w:p w14:paraId="6D6C75C6" w14:textId="77777777" w:rsidR="009966B5" w:rsidRPr="00511DEF" w:rsidRDefault="009966B5" w:rsidP="009966B5">
      <w:pPr>
        <w:spacing w:after="0" w:line="240" w:lineRule="auto"/>
        <w:ind w:right="-483"/>
        <w:jc w:val="both"/>
        <w:rPr>
          <w:lang w:val="lv-LV"/>
        </w:rPr>
      </w:pPr>
      <w:r w:rsidRPr="00511DEF">
        <w:rPr>
          <w:lang w:val="lv-LV"/>
        </w:rPr>
        <w:t>Domes priekšsēdētājs</w:t>
      </w:r>
      <w:r w:rsidRPr="00511DEF">
        <w:rPr>
          <w:lang w:val="lv-LV"/>
        </w:rPr>
        <w:tab/>
      </w:r>
      <w:r w:rsidRPr="00511DEF">
        <w:rPr>
          <w:lang w:val="lv-LV"/>
        </w:rPr>
        <w:tab/>
      </w:r>
      <w:r w:rsidRPr="00511DEF">
        <w:rPr>
          <w:lang w:val="lv-LV"/>
        </w:rPr>
        <w:tab/>
      </w:r>
      <w:r w:rsidRPr="00511DEF">
        <w:rPr>
          <w:lang w:val="lv-LV"/>
        </w:rPr>
        <w:tab/>
      </w:r>
      <w:r w:rsidRPr="00511DEF">
        <w:rPr>
          <w:lang w:val="lv-LV"/>
        </w:rPr>
        <w:tab/>
      </w:r>
      <w:r w:rsidRPr="00511DEF">
        <w:rPr>
          <w:lang w:val="lv-LV"/>
        </w:rPr>
        <w:tab/>
      </w:r>
      <w:r w:rsidRPr="00511DEF">
        <w:rPr>
          <w:lang w:val="lv-LV"/>
        </w:rPr>
        <w:tab/>
      </w:r>
      <w:r w:rsidRPr="00511DEF">
        <w:rPr>
          <w:lang w:val="lv-LV"/>
        </w:rPr>
        <w:tab/>
      </w:r>
      <w:proofErr w:type="spellStart"/>
      <w:r w:rsidRPr="00511DEF">
        <w:rPr>
          <w:lang w:val="lv-LV"/>
        </w:rPr>
        <w:t>Dz.ADLERS</w:t>
      </w:r>
      <w:proofErr w:type="spellEnd"/>
    </w:p>
    <w:p w14:paraId="74EF154D" w14:textId="77777777" w:rsidR="009966B5" w:rsidRPr="00511DEF" w:rsidRDefault="009966B5" w:rsidP="009966B5">
      <w:pPr>
        <w:spacing w:after="0" w:line="240" w:lineRule="auto"/>
        <w:ind w:right="-483"/>
        <w:jc w:val="both"/>
        <w:rPr>
          <w:lang w:val="lv-LV"/>
        </w:rPr>
      </w:pPr>
    </w:p>
    <w:p w14:paraId="13112C3A" w14:textId="77777777" w:rsidR="009966B5" w:rsidRPr="00511DEF" w:rsidRDefault="009966B5" w:rsidP="009966B5">
      <w:pPr>
        <w:spacing w:after="0" w:line="240" w:lineRule="auto"/>
        <w:ind w:right="-483"/>
        <w:jc w:val="both"/>
        <w:rPr>
          <w:lang w:val="lv-LV"/>
        </w:rPr>
      </w:pPr>
    </w:p>
    <w:p w14:paraId="14DA6D49" w14:textId="77777777" w:rsidR="009966B5" w:rsidRPr="00511DEF" w:rsidRDefault="009966B5" w:rsidP="009966B5">
      <w:pPr>
        <w:spacing w:after="0" w:line="240" w:lineRule="auto"/>
        <w:ind w:right="-483"/>
        <w:jc w:val="both"/>
        <w:rPr>
          <w:lang w:val="lv-LV"/>
        </w:rPr>
      </w:pPr>
    </w:p>
    <w:p w14:paraId="1A9F568C" w14:textId="77777777" w:rsidR="009966B5" w:rsidRPr="00511DEF" w:rsidRDefault="009966B5" w:rsidP="009966B5">
      <w:pPr>
        <w:spacing w:after="0" w:line="240" w:lineRule="auto"/>
        <w:ind w:right="-483"/>
        <w:jc w:val="both"/>
        <w:rPr>
          <w:lang w:val="lv-LV"/>
        </w:rPr>
      </w:pPr>
    </w:p>
    <w:p w14:paraId="6DC80835" w14:textId="77777777" w:rsidR="009966B5" w:rsidRDefault="009966B5" w:rsidP="009966B5">
      <w:pPr>
        <w:spacing w:after="200" w:line="276" w:lineRule="auto"/>
        <w:rPr>
          <w:lang w:val="lv-LV"/>
        </w:rPr>
      </w:pPr>
      <w:r>
        <w:rPr>
          <w:lang w:val="lv-LV"/>
        </w:rPr>
        <w:br w:type="page"/>
      </w:r>
    </w:p>
    <w:p w14:paraId="2DEFC0CE" w14:textId="77777777" w:rsidR="009966B5" w:rsidRPr="00511DEF" w:rsidRDefault="009966B5" w:rsidP="009966B5">
      <w:pPr>
        <w:spacing w:after="0" w:line="240" w:lineRule="auto"/>
        <w:ind w:right="-483"/>
        <w:jc w:val="both"/>
        <w:rPr>
          <w:lang w:val="lv-LV"/>
        </w:rPr>
      </w:pPr>
    </w:p>
    <w:p w14:paraId="61C479DF" w14:textId="77777777" w:rsidR="009966B5" w:rsidRPr="00511DEF" w:rsidRDefault="009966B5" w:rsidP="009966B5">
      <w:pPr>
        <w:spacing w:after="0" w:line="240" w:lineRule="auto"/>
        <w:ind w:right="-483"/>
        <w:jc w:val="center"/>
        <w:rPr>
          <w:rFonts w:eastAsia="Times New Roman" w:cs="Times New Roman"/>
          <w:b/>
          <w:szCs w:val="24"/>
          <w:lang w:val="lv-LV" w:eastAsia="lv-LV"/>
        </w:rPr>
      </w:pPr>
      <w:r w:rsidRPr="00511DEF">
        <w:rPr>
          <w:rFonts w:eastAsia="Calibri" w:cs="Times New Roman"/>
          <w:b/>
          <w:bCs/>
          <w:kern w:val="2"/>
          <w:szCs w:val="24"/>
          <w:lang w:val="lv-LV" w:eastAsia="lv-LV"/>
        </w:rPr>
        <w:t>Saistošo noteikumu Nr.__________</w:t>
      </w:r>
      <w:r w:rsidRPr="00511DEF">
        <w:rPr>
          <w:rFonts w:eastAsia="Calibri" w:cs="Times New Roman"/>
          <w:b/>
          <w:bCs/>
          <w:kern w:val="2"/>
          <w:szCs w:val="24"/>
          <w:lang w:val="lv-LV"/>
        </w:rPr>
        <w:t xml:space="preserve"> “</w:t>
      </w:r>
      <w:r w:rsidRPr="00511DEF">
        <w:rPr>
          <w:rFonts w:eastAsia="Times New Roman" w:cs="Times New Roman"/>
          <w:b/>
          <w:szCs w:val="24"/>
          <w:lang w:val="lv-LV" w:eastAsia="lv-LV"/>
        </w:rPr>
        <w:t>Par valsts nodevu atvieglojumiem</w:t>
      </w:r>
    </w:p>
    <w:p w14:paraId="49845473" w14:textId="77777777" w:rsidR="009966B5" w:rsidRPr="00511DEF" w:rsidRDefault="009966B5" w:rsidP="009966B5">
      <w:pPr>
        <w:spacing w:after="0" w:line="240" w:lineRule="auto"/>
        <w:ind w:right="-483"/>
        <w:jc w:val="center"/>
        <w:rPr>
          <w:rFonts w:eastAsia="Times New Roman" w:cs="Times New Roman"/>
          <w:b/>
          <w:color w:val="000000"/>
          <w:szCs w:val="24"/>
          <w:lang w:val="lv-LV" w:eastAsia="lv-LV"/>
        </w:rPr>
      </w:pPr>
      <w:r w:rsidRPr="00511DEF">
        <w:rPr>
          <w:rFonts w:eastAsia="Times New Roman" w:cs="Times New Roman"/>
          <w:b/>
          <w:szCs w:val="24"/>
          <w:lang w:val="lv-LV" w:eastAsia="lv-LV"/>
        </w:rPr>
        <w:t>bāriņtiesas pakalpojumiem Alūksnes novadā</w:t>
      </w:r>
      <w:r w:rsidRPr="00511DEF">
        <w:rPr>
          <w:rFonts w:eastAsia="Calibri" w:cs="Times New Roman"/>
          <w:b/>
          <w:bCs/>
          <w:kern w:val="2"/>
          <w:szCs w:val="24"/>
          <w:lang w:val="lv-LV" w:eastAsia="lv-LV"/>
        </w:rPr>
        <w:t>”</w:t>
      </w:r>
      <w:r w:rsidRPr="00511DEF">
        <w:rPr>
          <w:rFonts w:eastAsia="Calibri" w:cs="Times New Roman"/>
          <w:b/>
          <w:bCs/>
          <w:kern w:val="2"/>
          <w:szCs w:val="24"/>
          <w:lang w:val="lv-LV" w:eastAsia="lv-LV"/>
        </w:rPr>
        <w:br/>
        <w:t>PASKAIDROJUMA RAKSTS</w:t>
      </w:r>
    </w:p>
    <w:p w14:paraId="74A8A3F4" w14:textId="77777777" w:rsidR="009966B5" w:rsidRPr="00511DEF" w:rsidRDefault="009966B5" w:rsidP="009966B5">
      <w:pPr>
        <w:spacing w:after="0" w:line="240" w:lineRule="auto"/>
        <w:ind w:right="-483"/>
        <w:jc w:val="center"/>
        <w:rPr>
          <w:rFonts w:eastAsia="Times New Roman" w:cs="Times New Roman"/>
          <w:b/>
          <w:color w:val="000000"/>
          <w:szCs w:val="24"/>
          <w:lang w:val="lv-LV" w:eastAsia="lv-LV"/>
        </w:rPr>
      </w:pPr>
    </w:p>
    <w:tbl>
      <w:tblPr>
        <w:tblW w:w="507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82"/>
        <w:gridCol w:w="6790"/>
      </w:tblGrid>
      <w:tr w:rsidR="009966B5" w:rsidRPr="00222D26" w14:paraId="21D8E7AC"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6C23A" w14:textId="77777777" w:rsidR="009966B5" w:rsidRPr="00446655" w:rsidRDefault="009966B5" w:rsidP="00C077A8">
            <w:pPr>
              <w:spacing w:before="100" w:beforeAutospacing="1" w:after="0" w:line="293" w:lineRule="atLeast"/>
              <w:jc w:val="center"/>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Paskaidrojuma raksta sadaļa</w:t>
            </w:r>
          </w:p>
        </w:tc>
        <w:tc>
          <w:tcPr>
            <w:tcW w:w="3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5E4D8" w14:textId="77777777" w:rsidR="009966B5" w:rsidRPr="00446655" w:rsidRDefault="009966B5" w:rsidP="00C077A8">
            <w:pPr>
              <w:spacing w:before="100" w:beforeAutospacing="1" w:after="0" w:line="293" w:lineRule="atLeast"/>
              <w:jc w:val="center"/>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Norādāmā informācija</w:t>
            </w:r>
          </w:p>
        </w:tc>
      </w:tr>
      <w:tr w:rsidR="009966B5" w:rsidRPr="00222D26" w14:paraId="39B290E4"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193C639D"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1. Mērķis un nepieciešamības pamatojums</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3CC6455E"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hyperlink r:id="rId5" w:tgtFrame="_blank" w:history="1">
              <w:r w:rsidRPr="00446655">
                <w:rPr>
                  <w:rFonts w:eastAsia="Times New Roman" w:cs="Times New Roman"/>
                  <w:color w:val="000000" w:themeColor="text1"/>
                  <w:szCs w:val="24"/>
                  <w:u w:val="single"/>
                  <w:lang w:val="lv-LV" w:eastAsia="lv-LV"/>
                </w:rPr>
                <w:t>Bāriņtiesu likuma</w:t>
              </w:r>
            </w:hyperlink>
            <w:r w:rsidRPr="00446655">
              <w:rPr>
                <w:rFonts w:eastAsia="Times New Roman" w:cs="Times New Roman"/>
                <w:color w:val="000000" w:themeColor="text1"/>
                <w:szCs w:val="24"/>
                <w:lang w:val="lv-LV" w:eastAsia="lv-LV"/>
              </w:rPr>
              <w:t> </w:t>
            </w:r>
            <w:hyperlink r:id="rId6" w:anchor="p79" w:tgtFrame="_blank" w:history="1">
              <w:r w:rsidRPr="00446655">
                <w:rPr>
                  <w:rFonts w:eastAsia="Times New Roman" w:cs="Times New Roman"/>
                  <w:color w:val="000000" w:themeColor="text1"/>
                  <w:szCs w:val="24"/>
                  <w:u w:val="single"/>
                  <w:lang w:val="lv-LV" w:eastAsia="lv-LV"/>
                </w:rPr>
                <w:t>79. panta</w:t>
              </w:r>
            </w:hyperlink>
            <w:r w:rsidRPr="00446655">
              <w:rPr>
                <w:rFonts w:eastAsia="Times New Roman" w:cs="Times New Roman"/>
                <w:color w:val="000000" w:themeColor="text1"/>
                <w:szCs w:val="24"/>
                <w:lang w:val="lv-LV" w:eastAsia="lv-LV"/>
              </w:rPr>
              <w:t> pirmajā daļā noteiktas valsts nodevas par bāriņtiesas pakalpojumiem, ko ieskaita pašvaldības budžetā. Saskaņā ar minētā panta pirmās daļas 15. punktu bāriņtiesa iekasē valsts nodevu par mantojuma saraksta sastādīšanu. Minētā likuma </w:t>
            </w:r>
            <w:hyperlink r:id="rId7" w:anchor="p79" w:tgtFrame="_blank" w:history="1">
              <w:r w:rsidRPr="00446655">
                <w:rPr>
                  <w:rFonts w:eastAsia="Times New Roman" w:cs="Times New Roman"/>
                  <w:color w:val="000000" w:themeColor="text1"/>
                  <w:szCs w:val="24"/>
                  <w:u w:val="single"/>
                  <w:lang w:val="lv-LV" w:eastAsia="lv-LV"/>
                </w:rPr>
                <w:t>79. panta</w:t>
              </w:r>
            </w:hyperlink>
            <w:r w:rsidRPr="00446655">
              <w:rPr>
                <w:rFonts w:eastAsia="Times New Roman" w:cs="Times New Roman"/>
                <w:color w:val="000000" w:themeColor="text1"/>
                <w:szCs w:val="24"/>
                <w:lang w:val="lv-LV" w:eastAsia="lv-LV"/>
              </w:rPr>
              <w:t xml:space="preserve"> otrajā un trešajā daļā noteikts, ka pašvaldības domei ir tiesības piemērot valsts nodevu atvieglojumus. </w:t>
            </w:r>
          </w:p>
          <w:p w14:paraId="1D5FFDFE" w14:textId="1E42A9E0"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 xml:space="preserve">Tāpat likuma </w:t>
            </w:r>
            <w:r>
              <w:rPr>
                <w:rFonts w:eastAsia="Times New Roman" w:cs="Times New Roman"/>
                <w:color w:val="000000" w:themeColor="text1"/>
                <w:szCs w:val="24"/>
                <w:lang w:val="lv-LV" w:eastAsia="lv-LV"/>
              </w:rPr>
              <w:t>“</w:t>
            </w:r>
            <w:hyperlink r:id="rId8" w:tgtFrame="_blank" w:history="1">
              <w:r w:rsidRPr="00446655">
                <w:rPr>
                  <w:rFonts w:eastAsia="Times New Roman" w:cs="Times New Roman"/>
                  <w:color w:val="000000" w:themeColor="text1"/>
                  <w:szCs w:val="24"/>
                  <w:u w:val="single"/>
                  <w:lang w:val="lv-LV" w:eastAsia="lv-LV"/>
                </w:rPr>
                <w:t>Par nodokļiem un nodevām</w:t>
              </w:r>
            </w:hyperlink>
            <w:r>
              <w:rPr>
                <w:rFonts w:eastAsia="Times New Roman" w:cs="Times New Roman"/>
                <w:color w:val="000000" w:themeColor="text1"/>
                <w:szCs w:val="24"/>
                <w:u w:val="single"/>
                <w:lang w:val="lv-LV" w:eastAsia="lv-LV"/>
              </w:rPr>
              <w:t>”</w:t>
            </w:r>
            <w:r w:rsidRPr="00446655">
              <w:rPr>
                <w:rFonts w:eastAsia="Times New Roman" w:cs="Times New Roman"/>
                <w:color w:val="000000" w:themeColor="text1"/>
                <w:szCs w:val="24"/>
                <w:lang w:val="lv-LV" w:eastAsia="lv-LV"/>
              </w:rPr>
              <w:t> </w:t>
            </w:r>
            <w:hyperlink r:id="rId9" w:anchor="p3" w:tgtFrame="_blank" w:history="1">
              <w:r w:rsidRPr="00446655">
                <w:rPr>
                  <w:rFonts w:eastAsia="Times New Roman" w:cs="Times New Roman"/>
                  <w:color w:val="000000" w:themeColor="text1"/>
                  <w:szCs w:val="24"/>
                  <w:u w:val="single"/>
                  <w:lang w:val="lv-LV" w:eastAsia="lv-LV"/>
                </w:rPr>
                <w:t>3. panta</w:t>
              </w:r>
            </w:hyperlink>
            <w:r w:rsidRPr="00446655">
              <w:rPr>
                <w:rFonts w:eastAsia="Times New Roman" w:cs="Times New Roman"/>
                <w:color w:val="000000" w:themeColor="text1"/>
                <w:szCs w:val="24"/>
                <w:lang w:val="lv-LV" w:eastAsia="lv-LV"/>
              </w:rPr>
              <w:t> trešajā daļā noteikts, ka konkrētās valsts nodevas likumā vai Ministru kabineta noteikumos pašvaldībām var dot tiesības piemērot atvieglojumus tām valsts nodevām, kuras ieskaitāmas pašvaldību budžetos.</w:t>
            </w:r>
          </w:p>
          <w:p w14:paraId="069FC0C2"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 xml:space="preserve">Saistošo noteikumu izdošanas mērķis ir noteikt atvieglojumu valsts nodevai par bāriņtiesas sniegto pakalpojumu Alūksnes novadā par mantojuma saraksta sastādīšanu personu grupām – nepilngadīgajiem (ja mantojums tiek pieņemts nepilngadīgā vārdā, personām ar trūcīgas vai maznodrošinātas mājsaimniecības statusu, personām ar invaliditāti </w:t>
            </w:r>
            <w:r w:rsidRPr="00222D26">
              <w:rPr>
                <w:color w:val="000000" w:themeColor="text1"/>
                <w:lang w:val="lv-LV"/>
              </w:rPr>
              <w:t>(neatkarīgi no invaliditātes grupas)</w:t>
            </w:r>
            <w:r w:rsidRPr="00446655">
              <w:rPr>
                <w:rFonts w:eastAsia="Times New Roman" w:cs="Times New Roman"/>
                <w:color w:val="000000" w:themeColor="text1"/>
                <w:szCs w:val="24"/>
                <w:lang w:val="lv-LV" w:eastAsia="lv-LV"/>
              </w:rPr>
              <w:t>.</w:t>
            </w:r>
          </w:p>
        </w:tc>
      </w:tr>
      <w:tr w:rsidR="009966B5" w:rsidRPr="00222D26" w14:paraId="28F236F9"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126D606F"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2. Fiskālā ietekme uz pašvaldības budžetu</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0919417E" w14:textId="77777777" w:rsidR="009966B5" w:rsidRPr="00446655" w:rsidRDefault="009966B5" w:rsidP="00C077A8">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Saistošo noteikumu īstenošanas būtiska fiskālās ietekmes prognoze uz Alūksnes novada pašvaldības (turpmāk – Pašvaldība) budžetu nav paredzama.</w:t>
            </w:r>
          </w:p>
        </w:tc>
      </w:tr>
      <w:tr w:rsidR="009966B5" w:rsidRPr="00222D26" w14:paraId="3FDEEBF0"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6F33AAC6"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 Sociālā ietekme, ietekme uz vidi, iedzīvotāju veselību, uzņēmējdarbības vidi pašvaldības teritorijā, kā arī plānotā regulējuma ietekme uz konkurenci</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2C2B503D"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Saistošo noteikumu ietekmju vērtējums:</w:t>
            </w:r>
          </w:p>
          <w:p w14:paraId="14B1F3A1" w14:textId="77777777" w:rsidR="009966B5" w:rsidRPr="00446655" w:rsidRDefault="009966B5" w:rsidP="00C077A8">
            <w:pPr>
              <w:spacing w:after="0" w:line="293" w:lineRule="atLeast"/>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3.1. sociālā ietekme – paredzama ietekme;</w:t>
            </w:r>
          </w:p>
          <w:p w14:paraId="09DC1533" w14:textId="77777777" w:rsidR="009966B5" w:rsidRPr="00446655" w:rsidRDefault="009966B5" w:rsidP="00C077A8">
            <w:pPr>
              <w:spacing w:after="0" w:line="293" w:lineRule="atLeast"/>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3.2. ietekme uz vidi – nav ietekmes;</w:t>
            </w:r>
          </w:p>
          <w:p w14:paraId="5B25F15C" w14:textId="77777777" w:rsidR="009966B5" w:rsidRPr="00446655" w:rsidRDefault="009966B5" w:rsidP="00C077A8">
            <w:pPr>
              <w:spacing w:after="0" w:line="293" w:lineRule="atLeast"/>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3.3. ietekme uz iedzīvotāju veselību – nav ietekmes;</w:t>
            </w:r>
          </w:p>
          <w:p w14:paraId="59A93A3A" w14:textId="77777777" w:rsidR="009966B5" w:rsidRPr="00446655" w:rsidRDefault="009966B5" w:rsidP="00C077A8">
            <w:pPr>
              <w:spacing w:after="0" w:line="293" w:lineRule="atLeast"/>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3.4. ietekme uz uzņēmējdarbības vidi pašvaldības teritorijā – nav tiešas ietekmes;</w:t>
            </w:r>
          </w:p>
          <w:p w14:paraId="4C2B9AD0" w14:textId="77777777" w:rsidR="009966B5" w:rsidRPr="00446655" w:rsidRDefault="009966B5" w:rsidP="00C077A8">
            <w:pPr>
              <w:spacing w:after="0" w:line="293" w:lineRule="atLeast"/>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3.5. ietekme uz konkurenci – nav ietekmes.</w:t>
            </w:r>
          </w:p>
        </w:tc>
      </w:tr>
      <w:tr w:rsidR="009966B5" w:rsidRPr="00222D26" w14:paraId="4D260355"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660E2FE0"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4. Ietekme uz administratīvajām procedūrām un to izmaksām</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494F8E79"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4.1. Saistošo noteikumu piemērošanā personas var vērsties Alūksnes novada pašvaldības bāriņtiesā.</w:t>
            </w:r>
          </w:p>
          <w:p w14:paraId="0C199998"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4.2. Ar šiem saistošajiem noteikumiem netiek paredzētas papildus administratīvo procedūru izmaksas.</w:t>
            </w:r>
          </w:p>
        </w:tc>
      </w:tr>
      <w:tr w:rsidR="009966B5" w:rsidRPr="00222D26" w14:paraId="264CED23"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465AA6AD"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5. Ietekme uz pašvaldības funkcijām un cilvēkresursiem</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1EB909AD"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5.1. Saistošo noteikumu īstenošana neietekmēs pašvaldības funkcijas.</w:t>
            </w:r>
          </w:p>
          <w:p w14:paraId="3BB4E89F" w14:textId="77777777"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5.2. Saistošo noteikumu īstenošana neparedz papildu cilvēkresursu iesaisti.</w:t>
            </w:r>
          </w:p>
        </w:tc>
      </w:tr>
      <w:tr w:rsidR="009966B5" w:rsidRPr="00222D26" w14:paraId="66CCF0B1"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7032153A"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6. Informācija par izpildes nodrošināšanu</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4C655724" w14:textId="434F460D" w:rsidR="009966B5" w:rsidRPr="00446655" w:rsidRDefault="009966B5" w:rsidP="00C077A8">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Saistošo noteikumu izpildi nodrošinās Alūksnes novada pašvaldības bāriņtiesa, līdz ar to nav nepieciešama jaunu institūciju izveide.</w:t>
            </w:r>
          </w:p>
        </w:tc>
      </w:tr>
      <w:tr w:rsidR="009966B5" w:rsidRPr="00222D26" w14:paraId="6DBD52D4"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5F3AB6BA"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7. Prasību un izmaksu samērīgums pret ieguvumiem, ko sniedz mērķa sasniegšana</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6A80E425" w14:textId="02DFA8CF" w:rsidR="009966B5" w:rsidRPr="00446655" w:rsidRDefault="009966B5" w:rsidP="00C077A8">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Saistošie noteikumi ir piemēroti iecerētā mērķa sasniegšanai un pašvaldības rīcība ir atbilstoša Pašvaldību likumam.</w:t>
            </w:r>
          </w:p>
        </w:tc>
      </w:tr>
      <w:tr w:rsidR="009966B5" w:rsidRPr="00222D26" w14:paraId="29615533" w14:textId="77777777" w:rsidTr="009966B5">
        <w:tc>
          <w:tcPr>
            <w:tcW w:w="1526" w:type="pct"/>
            <w:tcBorders>
              <w:top w:val="outset" w:sz="6" w:space="0" w:color="414142"/>
              <w:left w:val="outset" w:sz="6" w:space="0" w:color="414142"/>
              <w:bottom w:val="outset" w:sz="6" w:space="0" w:color="414142"/>
              <w:right w:val="outset" w:sz="6" w:space="0" w:color="414142"/>
            </w:tcBorders>
            <w:shd w:val="clear" w:color="auto" w:fill="FFFFFF"/>
            <w:hideMark/>
          </w:tcPr>
          <w:p w14:paraId="131F84BB" w14:textId="77777777" w:rsidR="009966B5" w:rsidRPr="00446655" w:rsidRDefault="009966B5" w:rsidP="00C077A8">
            <w:pPr>
              <w:spacing w:after="0" w:line="240" w:lineRule="auto"/>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8. Izstrādes gaitā veiktās konsultācijas ar privātpersonām un institūcijām</w:t>
            </w:r>
          </w:p>
        </w:tc>
        <w:tc>
          <w:tcPr>
            <w:tcW w:w="3474" w:type="pct"/>
            <w:tcBorders>
              <w:top w:val="outset" w:sz="6" w:space="0" w:color="414142"/>
              <w:left w:val="outset" w:sz="6" w:space="0" w:color="414142"/>
              <w:bottom w:val="outset" w:sz="6" w:space="0" w:color="414142"/>
              <w:right w:val="outset" w:sz="6" w:space="0" w:color="414142"/>
            </w:tcBorders>
            <w:shd w:val="clear" w:color="auto" w:fill="FFFFFF"/>
            <w:hideMark/>
          </w:tcPr>
          <w:p w14:paraId="0147799C" w14:textId="5F1D3BBB" w:rsidR="009966B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 xml:space="preserve">8.1. Sabiedrības līdzdalības veids - priekšlikumu un iebildumu ievērtēšana un iekļaušana pēc projekta publicēšanas pašvaldības tīmekļa vietnē internetā </w:t>
            </w:r>
            <w:hyperlink r:id="rId10" w:history="1">
              <w:r w:rsidRPr="007923FE">
                <w:rPr>
                  <w:rStyle w:val="Hipersaite"/>
                  <w:rFonts w:eastAsia="Times New Roman" w:cs="Times New Roman"/>
                  <w:szCs w:val="24"/>
                  <w:lang w:val="lv-LV" w:eastAsia="lv-LV"/>
                </w:rPr>
                <w:t>www.aluksne.lv</w:t>
              </w:r>
            </w:hyperlink>
            <w:r w:rsidRPr="00446655">
              <w:rPr>
                <w:rFonts w:eastAsia="Times New Roman" w:cs="Times New Roman"/>
                <w:color w:val="000000" w:themeColor="text1"/>
                <w:szCs w:val="24"/>
                <w:lang w:val="lv-LV" w:eastAsia="lv-LV"/>
              </w:rPr>
              <w:t>.</w:t>
            </w:r>
          </w:p>
          <w:p w14:paraId="4AA14F05" w14:textId="32264590" w:rsidR="009966B5" w:rsidRPr="00446655" w:rsidRDefault="009966B5" w:rsidP="009966B5">
            <w:pPr>
              <w:spacing w:after="0" w:line="240" w:lineRule="auto"/>
              <w:jc w:val="both"/>
              <w:rPr>
                <w:rFonts w:eastAsia="Times New Roman" w:cs="Times New Roman"/>
                <w:color w:val="000000" w:themeColor="text1"/>
                <w:szCs w:val="24"/>
                <w:lang w:val="lv-LV" w:eastAsia="lv-LV"/>
              </w:rPr>
            </w:pPr>
            <w:r w:rsidRPr="00446655">
              <w:rPr>
                <w:rFonts w:eastAsia="Times New Roman" w:cs="Times New Roman"/>
                <w:color w:val="000000" w:themeColor="text1"/>
                <w:szCs w:val="24"/>
                <w:lang w:val="lv-LV" w:eastAsia="lv-LV"/>
              </w:rPr>
              <w:t xml:space="preserve">8.2. Saistošo noteikumu projekts sabiedrības viedokļa noskaidrošanai publicēts pašvaldības tīmekļa vietnē internetā </w:t>
            </w:r>
            <w:proofErr w:type="spellStart"/>
            <w:r w:rsidRPr="00446655">
              <w:rPr>
                <w:rFonts w:eastAsia="Times New Roman" w:cs="Times New Roman"/>
                <w:color w:val="000000" w:themeColor="text1"/>
                <w:szCs w:val="24"/>
                <w:lang w:val="lv-LV" w:eastAsia="lv-LV"/>
              </w:rPr>
              <w:t>www.aluksne.lv</w:t>
            </w:r>
            <w:proofErr w:type="spellEnd"/>
            <w:r w:rsidRPr="00446655">
              <w:rPr>
                <w:rFonts w:eastAsia="Times New Roman" w:cs="Times New Roman"/>
                <w:color w:val="000000" w:themeColor="text1"/>
                <w:szCs w:val="24"/>
                <w:lang w:val="lv-LV" w:eastAsia="lv-LV"/>
              </w:rPr>
              <w:t xml:space="preserve"> no 2024. ____līdz _____2024.</w:t>
            </w:r>
          </w:p>
        </w:tc>
      </w:tr>
    </w:tbl>
    <w:p w14:paraId="567B8B4D" w14:textId="77777777" w:rsidR="00893910" w:rsidRDefault="00893910">
      <w:bookmarkStart w:id="1" w:name="p1"/>
      <w:bookmarkStart w:id="2" w:name="p-1247091"/>
      <w:bookmarkStart w:id="3" w:name="p2"/>
      <w:bookmarkStart w:id="4" w:name="p-1247092"/>
      <w:bookmarkStart w:id="5" w:name="p3"/>
      <w:bookmarkStart w:id="6" w:name="p-1247093"/>
      <w:bookmarkStart w:id="7" w:name="piel-1247095"/>
      <w:bookmarkStart w:id="8" w:name="1247096"/>
      <w:bookmarkStart w:id="9" w:name="n-1247096"/>
      <w:bookmarkEnd w:id="1"/>
      <w:bookmarkEnd w:id="2"/>
      <w:bookmarkEnd w:id="3"/>
      <w:bookmarkEnd w:id="4"/>
      <w:bookmarkEnd w:id="5"/>
      <w:bookmarkEnd w:id="6"/>
      <w:bookmarkEnd w:id="7"/>
      <w:bookmarkEnd w:id="8"/>
      <w:bookmarkEnd w:id="9"/>
    </w:p>
    <w:sectPr w:rsidR="00893910" w:rsidSect="00624FA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AF4"/>
    <w:multiLevelType w:val="multilevel"/>
    <w:tmpl w:val="ADBEE628"/>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3207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B5"/>
    <w:rsid w:val="004F7DD7"/>
    <w:rsid w:val="00893910"/>
    <w:rsid w:val="00996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C028"/>
  <w15:chartTrackingRefBased/>
  <w15:docId w15:val="{03649910-921E-4262-929F-45D1688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66B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966B5"/>
    <w:pPr>
      <w:ind w:left="720"/>
      <w:contextualSpacing/>
    </w:pPr>
  </w:style>
  <w:style w:type="paragraph" w:styleId="Paraststmeklis">
    <w:name w:val="Normal (Web)"/>
    <w:basedOn w:val="Parasts"/>
    <w:uiPriority w:val="99"/>
    <w:unhideWhenUsed/>
    <w:rsid w:val="009966B5"/>
    <w:pPr>
      <w:spacing w:before="100" w:beforeAutospacing="1" w:after="100" w:afterAutospacing="1" w:line="240" w:lineRule="auto"/>
    </w:pPr>
    <w:rPr>
      <w:rFonts w:eastAsia="Times New Roman" w:cs="Times New Roman"/>
      <w:szCs w:val="24"/>
      <w:lang w:val="lv-LV" w:eastAsia="lv-LV"/>
    </w:rPr>
  </w:style>
  <w:style w:type="character" w:styleId="Hipersaite">
    <w:name w:val="Hyperlink"/>
    <w:basedOn w:val="Noklusjumarindkopasfonts"/>
    <w:uiPriority w:val="99"/>
    <w:unhideWhenUsed/>
    <w:rsid w:val="009966B5"/>
    <w:rPr>
      <w:color w:val="0563C1" w:themeColor="hyperlink"/>
      <w:u w:val="single"/>
    </w:rPr>
  </w:style>
  <w:style w:type="character" w:styleId="Neatrisintapieminana">
    <w:name w:val="Unresolved Mention"/>
    <w:basedOn w:val="Noklusjumarindkopasfonts"/>
    <w:uiPriority w:val="99"/>
    <w:semiHidden/>
    <w:unhideWhenUsed/>
    <w:rsid w:val="0099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3946-par-nodokliem-un-nodevam" TargetMode="External"/><Relationship Id="rId3" Type="http://schemas.openxmlformats.org/officeDocument/2006/relationships/settings" Target="settings.xml"/><Relationship Id="rId7" Type="http://schemas.openxmlformats.org/officeDocument/2006/relationships/hyperlink" Target="https://m.likumi.lv/ta/id/139369-barinties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ikumi.lv/ta/id/139369-barintiesu-likums" TargetMode="External"/><Relationship Id="rId11" Type="http://schemas.openxmlformats.org/officeDocument/2006/relationships/fontTable" Target="fontTable.xml"/><Relationship Id="rId5" Type="http://schemas.openxmlformats.org/officeDocument/2006/relationships/hyperlink" Target="https://m.likumi.lv/ta/id/139369-barintiesu-likums"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s://m.likumi.lv/ta/id/33946-par-nodokliem-un-nodev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3510</Words>
  <Characters>2002</Characters>
  <Application>Microsoft Office Word</Application>
  <DocSecurity>0</DocSecurity>
  <Lines>16</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2024-04-30T07:10:00Z</dcterms:created>
  <dcterms:modified xsi:type="dcterms:W3CDTF">2024-04-30T07:15:00Z</dcterms:modified>
</cp:coreProperties>
</file>