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457B" w:rsidRDefault="00F8457B" w:rsidP="00F8457B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:rsidR="00F8457B" w:rsidRPr="00075062" w:rsidRDefault="00F8457B" w:rsidP="00F8457B">
      <w:pPr>
        <w:pStyle w:val="Galvene"/>
        <w:tabs>
          <w:tab w:val="clear" w:pos="4153"/>
          <w:tab w:val="clear" w:pos="8306"/>
          <w:tab w:val="left" w:pos="0"/>
        </w:tabs>
        <w:rPr>
          <w:rFonts w:ascii="Times New Roman" w:hAnsi="Times New Roman"/>
          <w:sz w:val="24"/>
          <w:szCs w:val="24"/>
        </w:rPr>
      </w:pPr>
    </w:p>
    <w:p w:rsidR="00F8457B" w:rsidRPr="00212577" w:rsidRDefault="00F8457B" w:rsidP="00F8457B">
      <w:pPr>
        <w:jc w:val="center"/>
        <w:rPr>
          <w:rFonts w:ascii="Times New Roman" w:hAnsi="Times New Roman"/>
          <w:b/>
          <w:sz w:val="24"/>
          <w:lang w:val="lv-LV"/>
        </w:rPr>
      </w:pPr>
      <w:bookmarkStart w:id="0" w:name="_Hlk175751303"/>
      <w:r w:rsidRPr="00212577">
        <w:rPr>
          <w:rFonts w:ascii="Times New Roman" w:hAnsi="Times New Roman"/>
          <w:b/>
          <w:sz w:val="24"/>
          <w:lang w:val="lv-LV"/>
        </w:rPr>
        <w:t xml:space="preserve">Par pašvaldības līdzfinansējuma nodrošināšanu plūdu radīto zaudējumu novēršanai </w:t>
      </w:r>
    </w:p>
    <w:bookmarkEnd w:id="0"/>
    <w:p w:rsidR="00F8457B" w:rsidRPr="00212577" w:rsidRDefault="00F8457B" w:rsidP="00F8457B">
      <w:pPr>
        <w:ind w:left="360"/>
        <w:jc w:val="both"/>
        <w:rPr>
          <w:rFonts w:ascii="Times New Roman" w:hAnsi="Times New Roman"/>
          <w:sz w:val="24"/>
          <w:lang w:val="lv-LV"/>
        </w:rPr>
      </w:pPr>
    </w:p>
    <w:p w:rsidR="00F8457B" w:rsidRPr="00212577" w:rsidRDefault="00F8457B" w:rsidP="00F8457B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212577">
        <w:rPr>
          <w:rFonts w:ascii="Times New Roman" w:hAnsi="Times New Roman"/>
          <w:sz w:val="24"/>
          <w:szCs w:val="24"/>
          <w:lang w:val="lv-LV"/>
        </w:rPr>
        <w:t>Pamatojoties uz Pašvaldību likuma 4.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panta pirmās daļas 2. un 3.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punktu, 10.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panta pirmās daļas 21.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punktu, likuma “Par pašvaldību budžetiem” 30.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pantu, Ministru kabineta 2018.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gada 17.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jūlija noteikumu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>421 “Kārtība, kādā veic gadskārtējā valsts budžeta likumā noteiktās apropriācijas izmaiņas” 47.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212577">
        <w:rPr>
          <w:rFonts w:ascii="Times New Roman" w:hAnsi="Times New Roman"/>
          <w:sz w:val="24"/>
          <w:szCs w:val="24"/>
          <w:lang w:val="lv-LV"/>
        </w:rPr>
        <w:t xml:space="preserve">punktu, </w:t>
      </w:r>
    </w:p>
    <w:p w:rsidR="00F8457B" w:rsidRPr="00212577" w:rsidRDefault="00F8457B" w:rsidP="00F8457B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8457B" w:rsidRPr="003A30C7" w:rsidRDefault="00F8457B" w:rsidP="00F8457B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212577">
        <w:rPr>
          <w:rFonts w:ascii="Times New Roman" w:hAnsi="Times New Roman"/>
          <w:sz w:val="24"/>
          <w:szCs w:val="24"/>
          <w:lang w:val="lv-LV"/>
        </w:rPr>
        <w:t xml:space="preserve">Nodrošināt pašvaldības līdzfinansējumu </w:t>
      </w:r>
      <w:r>
        <w:rPr>
          <w:rFonts w:ascii="Times New Roman" w:hAnsi="Times New Roman"/>
          <w:sz w:val="24"/>
          <w:szCs w:val="24"/>
          <w:lang w:val="lv-LV"/>
        </w:rPr>
        <w:t>10 574,81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 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EUR (d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esmit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 tūkstoši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 pieci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 simti 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septiņdesmit četru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 </w:t>
      </w:r>
      <w:proofErr w:type="spellStart"/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>euro</w:t>
      </w:r>
      <w:proofErr w:type="spellEnd"/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81</w:t>
      </w:r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 xml:space="preserve"> 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cent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a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) </w:t>
      </w:r>
      <w:r w:rsidRPr="00212577">
        <w:rPr>
          <w:rFonts w:ascii="Times New Roman" w:hAnsi="Times New Roman"/>
          <w:color w:val="000000"/>
          <w:sz w:val="24"/>
          <w:szCs w:val="24"/>
          <w:lang w:val="lv-LV"/>
        </w:rPr>
        <w:t xml:space="preserve">apmērā </w:t>
      </w:r>
      <w:r>
        <w:rPr>
          <w:rFonts w:ascii="Times New Roman" w:hAnsi="Times New Roman"/>
          <w:sz w:val="24"/>
          <w:szCs w:val="24"/>
          <w:lang w:val="lv-LV"/>
        </w:rPr>
        <w:t>8.</w:t>
      </w:r>
      <w:r w:rsidRPr="003A30C7">
        <w:rPr>
          <w:rFonts w:ascii="Times New Roman" w:hAnsi="Times New Roman"/>
          <w:sz w:val="24"/>
          <w:szCs w:val="24"/>
          <w:lang w:val="lv-LV"/>
        </w:rPr>
        <w:t>–12. jūnij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A30C7">
        <w:rPr>
          <w:rFonts w:ascii="Times New Roman" w:hAnsi="Times New Roman"/>
          <w:sz w:val="24"/>
          <w:szCs w:val="24"/>
          <w:lang w:val="lv-LV"/>
        </w:rPr>
        <w:t xml:space="preserve"> lietusgāžu plūdu izraisīto avārijas seku novēršanai</w:t>
      </w:r>
      <w:r w:rsidRPr="003A30C7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uz </w:t>
      </w:r>
      <w:r w:rsidRPr="003A30C7">
        <w:rPr>
          <w:rFonts w:ascii="Times New Roman" w:hAnsi="Times New Roman"/>
          <w:color w:val="000000"/>
          <w:sz w:val="24"/>
          <w:szCs w:val="24"/>
          <w:lang w:val="lv-LV"/>
        </w:rPr>
        <w:t>Alūksnes novada</w:t>
      </w:r>
      <w:r w:rsidRPr="003A30C7">
        <w:rPr>
          <w:rFonts w:ascii="Times New Roman" w:hAnsi="Times New Roman"/>
          <w:sz w:val="24"/>
          <w:szCs w:val="24"/>
          <w:lang w:val="lv-LV"/>
        </w:rPr>
        <w:t xml:space="preserve"> pašvaldības autoceļiem un ielām, kas sastāda 30% no radīto zaudējumu apmēra.</w:t>
      </w:r>
    </w:p>
    <w:p w:rsidR="003F25AE" w:rsidRDefault="00F8457B" w:rsidP="00F8457B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212577">
        <w:rPr>
          <w:rFonts w:ascii="Times New Roman" w:hAnsi="Times New Roman"/>
          <w:sz w:val="24"/>
          <w:szCs w:val="24"/>
          <w:lang w:val="lv-LV"/>
        </w:rPr>
        <w:t xml:space="preserve">Līdzfinansējumu pašvaldības </w:t>
      </w:r>
      <w:r>
        <w:rPr>
          <w:rFonts w:ascii="Times New Roman" w:hAnsi="Times New Roman"/>
          <w:sz w:val="24"/>
          <w:szCs w:val="24"/>
          <w:lang w:val="lv-LV"/>
        </w:rPr>
        <w:t xml:space="preserve">autoceļu un ielu </w:t>
      </w:r>
      <w:r w:rsidRPr="00212577">
        <w:rPr>
          <w:rFonts w:ascii="Times New Roman" w:hAnsi="Times New Roman"/>
          <w:sz w:val="24"/>
          <w:szCs w:val="24"/>
          <w:lang w:val="lv-LV"/>
        </w:rPr>
        <w:t xml:space="preserve">atjaunošanai 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0 574,81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 EUR (d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esmit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 tūkstoši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 pieci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 simti 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septiņdesmit četru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 xml:space="preserve"> </w:t>
      </w:r>
      <w:proofErr w:type="spellStart"/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>euro</w:t>
      </w:r>
      <w:proofErr w:type="spellEnd"/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81</w:t>
      </w:r>
      <w:r w:rsidRPr="00212577">
        <w:rPr>
          <w:rFonts w:ascii="Times New Roman" w:eastAsia="Calibri" w:hAnsi="Times New Roman"/>
          <w:i/>
          <w:iCs/>
          <w:color w:val="000000"/>
          <w:sz w:val="24"/>
          <w:szCs w:val="24"/>
          <w:lang w:val="lv-LV" w:eastAsia="lv-LV"/>
        </w:rPr>
        <w:t xml:space="preserve"> 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cent</w:t>
      </w:r>
      <w:r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a</w:t>
      </w:r>
      <w:r w:rsidRPr="00212577">
        <w:rPr>
          <w:rFonts w:ascii="Times New Roman" w:eastAsia="Calibri" w:hAnsi="Times New Roman"/>
          <w:color w:val="000000"/>
          <w:sz w:val="24"/>
          <w:szCs w:val="24"/>
          <w:lang w:val="lv-LV" w:eastAsia="lv-LV"/>
        </w:rPr>
        <w:t>)</w:t>
      </w:r>
      <w:r w:rsidRPr="00212577">
        <w:rPr>
          <w:rFonts w:ascii="Times New Roman" w:eastAsia="Calibri" w:hAnsi="Times New Roman"/>
          <w:sz w:val="24"/>
          <w:szCs w:val="24"/>
          <w:lang w:val="lv-LV" w:eastAsia="lv-LV"/>
        </w:rPr>
        <w:t xml:space="preserve"> </w:t>
      </w:r>
      <w:r w:rsidRPr="00212577">
        <w:rPr>
          <w:rFonts w:ascii="Times New Roman" w:hAnsi="Times New Roman"/>
          <w:sz w:val="24"/>
          <w:szCs w:val="24"/>
          <w:lang w:val="lv-LV"/>
        </w:rPr>
        <w:t xml:space="preserve">apmērā </w:t>
      </w:r>
      <w:r>
        <w:rPr>
          <w:rFonts w:ascii="Times New Roman" w:hAnsi="Times New Roman"/>
          <w:sz w:val="24"/>
          <w:szCs w:val="24"/>
          <w:lang w:val="lv-LV"/>
        </w:rPr>
        <w:t>nodrošināt</w:t>
      </w:r>
      <w:r w:rsidRPr="00212577">
        <w:rPr>
          <w:rFonts w:ascii="Times New Roman" w:hAnsi="Times New Roman"/>
          <w:sz w:val="24"/>
          <w:szCs w:val="24"/>
          <w:lang w:val="lv-LV"/>
        </w:rPr>
        <w:t xml:space="preserve"> no Alūksnes novada pašvaldības</w:t>
      </w:r>
      <w:r>
        <w:rPr>
          <w:rFonts w:ascii="Times New Roman" w:hAnsi="Times New Roman"/>
          <w:sz w:val="24"/>
          <w:szCs w:val="24"/>
          <w:lang w:val="lv-LV"/>
        </w:rPr>
        <w:t xml:space="preserve"> pamatbudžeta</w:t>
      </w:r>
      <w:r w:rsidRPr="00212577">
        <w:rPr>
          <w:rFonts w:ascii="Times New Roman" w:hAnsi="Times New Roman"/>
          <w:sz w:val="24"/>
          <w:szCs w:val="24"/>
          <w:lang w:val="lv-LV"/>
        </w:rPr>
        <w:t>.</w:t>
      </w:r>
    </w:p>
    <w:p w:rsidR="003F25AE" w:rsidRDefault="003F25AE">
      <w:pPr>
        <w:spacing w:after="160" w:line="278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3F25AE" w:rsidRDefault="003F25AE" w:rsidP="003F25AE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Pielikums</w:t>
      </w:r>
    </w:p>
    <w:p w:rsidR="003F25AE" w:rsidRDefault="003F25AE" w:rsidP="003F25AE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Alūksnes novada pašvaldības domes</w:t>
      </w:r>
    </w:p>
    <w:p w:rsidR="003F25AE" w:rsidRDefault="003F25AE" w:rsidP="003F25AE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28.08.2025. lēmumam Nr. …(protokols Nr. ..,..p.)</w:t>
      </w:r>
    </w:p>
    <w:p w:rsidR="003F25AE" w:rsidRDefault="003F25AE" w:rsidP="003F25AE">
      <w:pPr>
        <w:tabs>
          <w:tab w:val="num" w:pos="0"/>
        </w:tabs>
        <w:jc w:val="right"/>
        <w:rPr>
          <w:rFonts w:ascii="Times New Roman" w:hAnsi="Times New Roman"/>
          <w:sz w:val="24"/>
          <w:szCs w:val="24"/>
          <w:lang w:val="lv-LV"/>
        </w:rPr>
      </w:pPr>
    </w:p>
    <w:p w:rsidR="003F25AE" w:rsidRPr="001569F4" w:rsidRDefault="003F25AE" w:rsidP="003F25A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569F4">
        <w:rPr>
          <w:rFonts w:ascii="Times New Roman" w:hAnsi="Times New Roman"/>
          <w:b/>
          <w:bCs/>
          <w:sz w:val="24"/>
          <w:szCs w:val="24"/>
          <w:lang w:val="lv-LV"/>
        </w:rPr>
        <w:t>ALŪKSNES NOVADA PAŠVALDĪBAS LĪDZFINANSĒJUMA SADALĪJUMS</w:t>
      </w:r>
    </w:p>
    <w:p w:rsidR="003F25AE" w:rsidRDefault="003F25AE" w:rsidP="003F25A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569F4">
        <w:rPr>
          <w:rFonts w:ascii="Times New Roman" w:hAnsi="Times New Roman"/>
          <w:b/>
          <w:bCs/>
          <w:sz w:val="24"/>
          <w:szCs w:val="24"/>
          <w:lang w:val="lv-LV"/>
        </w:rPr>
        <w:t>PLŪDU RADĪTO ZAUDĒJUMU NOVĒRŠANAI</w:t>
      </w:r>
    </w:p>
    <w:p w:rsidR="003F25AE" w:rsidRDefault="003F25AE" w:rsidP="003F25A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9061" w:type="dxa"/>
        <w:tblLook w:val="04A0" w:firstRow="1" w:lastRow="0" w:firstColumn="1" w:lastColumn="0" w:noHBand="0" w:noVBand="1"/>
      </w:tblPr>
      <w:tblGrid>
        <w:gridCol w:w="3520"/>
        <w:gridCol w:w="1578"/>
        <w:gridCol w:w="1799"/>
        <w:gridCol w:w="2164"/>
      </w:tblGrid>
      <w:tr w:rsidR="003F25AE" w:rsidRPr="00A92359" w:rsidTr="00E53FAA">
        <w:trPr>
          <w:trHeight w:val="1575"/>
        </w:trPr>
        <w:tc>
          <w:tcPr>
            <w:tcW w:w="3520" w:type="dxa"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Objekts/adrese</w:t>
            </w:r>
          </w:p>
        </w:tc>
        <w:tc>
          <w:tcPr>
            <w:tcW w:w="1578" w:type="dxa"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Izmaksu tāme, EUR</w:t>
            </w:r>
          </w:p>
        </w:tc>
        <w:tc>
          <w:tcPr>
            <w:tcW w:w="1799" w:type="dxa"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Mērķdotācijas sadalījums 30%, EUR</w:t>
            </w:r>
          </w:p>
        </w:tc>
        <w:tc>
          <w:tcPr>
            <w:tcW w:w="2164" w:type="dxa"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Mērķdotācijas sadalījums 30%, EUR (apaļots Alūksnes novada pašvaldības pamatbudžeta plānam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Alsviķu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4368,04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1310,4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0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3057,64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Strautiņi-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Rebenes</w:t>
            </w:r>
            <w:proofErr w:type="spellEnd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-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Luki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300,69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90,21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210,48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Līvkalni-Nēķene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534,88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160,46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374,42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Dzintari-Brīdaki-Liepas 2-Apes ceļš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499,22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Apes ceļš-Karva-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Lintene</w:t>
            </w:r>
            <w:proofErr w:type="spellEnd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-Apes ceļš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429,55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128,86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300,69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Strautiņi-58.ceļš-Zaļmeži-Stāmeri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2389,75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716,92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1672,83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Annas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2496,11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748,83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1747,28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V395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1426,35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427,9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998,45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Anna-Nākotnes iela-Teikas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1069,76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320,93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748,83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Ilzenes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356,59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106,98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249,61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V374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356,59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106,98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249,61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Jaunalūksnes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356,59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106,98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249,61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Bundzene</w:t>
            </w:r>
            <w:proofErr w:type="spellEnd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–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Matisene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356,59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106,98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249,61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Jaunannas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695,87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208,76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487,11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V398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481,09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144,33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336,76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Rūķīši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–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Svari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214,78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64,43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150,35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Jaunlaicenes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16931,78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5079,54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11852,24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Jaunlaicene-Jānīši-Balti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4631,88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1389,56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3242,32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Jaunlaicene-Kambari-Grūbe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1605,98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481,8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1124,18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Auguļi-Apes robeža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9980,75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2994,23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6986,52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Šļukums-Auguļi-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Jenši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499,22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Kalncempju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1604,64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481,39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1123,25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Cempji</w:t>
            </w:r>
            <w:proofErr w:type="spellEnd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-Malaci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534,88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160,46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374,42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Ate-Augstiekalni-Niedras-4.ceļš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1069,76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320,93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748,83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Mārkalnes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1069,76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320,93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748,83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Cirakalns-Silamalu</w:t>
            </w:r>
            <w:proofErr w:type="spellEnd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krustojums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1069,76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320,93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748,83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Pededzes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499,22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Ponkuļi-Puncene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499,22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Zeltiņu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356,59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106,98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249,61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Grēveles-Ciemgaļi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356,59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106,98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249,61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proofErr w:type="spellStart"/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Ziemera</w:t>
            </w:r>
            <w:proofErr w:type="spellEnd"/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4093,31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1228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2865,31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lastRenderedPageBreak/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V385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3023,55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907,07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2116,48</w:t>
            </w:r>
          </w:p>
        </w:tc>
      </w:tr>
      <w:tr w:rsidR="003F25AE" w:rsidRPr="00A92359" w:rsidTr="00E53FAA">
        <w:trPr>
          <w:trHeight w:val="315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384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356,59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106,98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249,61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Stūrīši-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Elisi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713,17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213,95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499,22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Veclaicenes pagasts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1118,64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335,59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783,05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“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Krustiņi-</w:t>
            </w: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Palpierkalns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1118,64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335,59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783,05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Alūksne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1088,27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326,48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761,79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proofErr w:type="spellStart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F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ī</w:t>
            </w: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tinghof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u</w:t>
            </w:r>
            <w:proofErr w:type="spellEnd"/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 xml:space="preserve"> iela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392,88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117,86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275,02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Pētera Buka iela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392,89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117,87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275,02</w:t>
            </w:r>
          </w:p>
        </w:tc>
      </w:tr>
      <w:tr w:rsidR="003F25AE" w:rsidRPr="00A92359" w:rsidTr="00E53FAA">
        <w:trPr>
          <w:trHeight w:val="600"/>
        </w:trPr>
        <w:tc>
          <w:tcPr>
            <w:tcW w:w="3520" w:type="dxa"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Lietus ūdens kanalizācijas aka Latgales ielā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302,5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90,75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color w:val="000000"/>
                <w:sz w:val="22"/>
                <w:szCs w:val="22"/>
                <w:lang w:val="lv-LV"/>
              </w:rPr>
              <w:t>211,75</w:t>
            </w:r>
          </w:p>
        </w:tc>
      </w:tr>
      <w:tr w:rsidR="003F25AE" w:rsidRPr="00A92359" w:rsidTr="00E53FAA">
        <w:trPr>
          <w:trHeight w:val="300"/>
        </w:trPr>
        <w:tc>
          <w:tcPr>
            <w:tcW w:w="3520" w:type="dxa"/>
            <w:noWrap/>
            <w:hideMark/>
          </w:tcPr>
          <w:p w:rsidR="003F25AE" w:rsidRPr="00A92359" w:rsidRDefault="003F25AE" w:rsidP="00E53FA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Kopā</w:t>
            </w:r>
          </w:p>
        </w:tc>
        <w:tc>
          <w:tcPr>
            <w:tcW w:w="1578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35249,36</w:t>
            </w:r>
          </w:p>
        </w:tc>
        <w:tc>
          <w:tcPr>
            <w:tcW w:w="1799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10574,81</w:t>
            </w:r>
          </w:p>
        </w:tc>
        <w:tc>
          <w:tcPr>
            <w:tcW w:w="2164" w:type="dxa"/>
            <w:noWrap/>
            <w:hideMark/>
          </w:tcPr>
          <w:p w:rsidR="003F25AE" w:rsidRPr="00A92359" w:rsidRDefault="003F25AE" w:rsidP="00E53F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9235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/>
              </w:rPr>
              <w:t>24674,55</w:t>
            </w:r>
          </w:p>
        </w:tc>
      </w:tr>
    </w:tbl>
    <w:p w:rsidR="003F25AE" w:rsidRDefault="003F25AE" w:rsidP="003F25A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3F25AE" w:rsidRPr="001569F4" w:rsidRDefault="003F25AE" w:rsidP="003F25A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F8457B" w:rsidRPr="003A30C7" w:rsidRDefault="00F8457B" w:rsidP="003F25AE">
      <w:pPr>
        <w:suppressAutoHyphens/>
        <w:autoSpaceDN w:val="0"/>
        <w:ind w:left="720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CDD"/>
    <w:multiLevelType w:val="hybridMultilevel"/>
    <w:tmpl w:val="7F0088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6454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7B"/>
    <w:rsid w:val="00147D9E"/>
    <w:rsid w:val="003F25AE"/>
    <w:rsid w:val="008556DF"/>
    <w:rsid w:val="00E862DE"/>
    <w:rsid w:val="00F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196B"/>
  <w15:chartTrackingRefBased/>
  <w15:docId w15:val="{D65DF73B-0AB4-4575-98F8-E1DF1880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457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84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8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845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845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845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845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845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845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845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84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84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845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845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845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845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845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845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8457B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845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8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845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845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8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8457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8457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8457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84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8457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8457B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rsid w:val="00F8457B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8457B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table" w:styleId="Reatabula">
    <w:name w:val="Table Grid"/>
    <w:basedOn w:val="Parastatabula"/>
    <w:rsid w:val="003F25A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1907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</cp:revision>
  <dcterms:created xsi:type="dcterms:W3CDTF">2025-08-20T17:33:00Z</dcterms:created>
  <dcterms:modified xsi:type="dcterms:W3CDTF">2025-08-20T17:35:00Z</dcterms:modified>
</cp:coreProperties>
</file>