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4044" w14:textId="77777777" w:rsidR="00CB1C22" w:rsidRPr="00CB1C22" w:rsidRDefault="00CB1C22" w:rsidP="00CB1C22">
      <w:pPr>
        <w:tabs>
          <w:tab w:val="left" w:pos="1680"/>
        </w:tabs>
        <w:spacing w:after="0" w:line="240" w:lineRule="auto"/>
        <w:jc w:val="center"/>
        <w:rPr>
          <w:rFonts w:eastAsia="Times New Roman" w:cs="Times New Roman"/>
          <w:sz w:val="20"/>
          <w:szCs w:val="20"/>
        </w:rPr>
      </w:pPr>
      <w:r w:rsidRPr="00CB1C22">
        <w:rPr>
          <w:rFonts w:eastAsia="Times New Roman" w:cs="Times New Roman"/>
          <w:noProof/>
          <w:sz w:val="20"/>
          <w:szCs w:val="20"/>
          <w:lang w:eastAsia="lv-LV"/>
        </w:rPr>
        <w:drawing>
          <wp:inline distT="0" distB="0" distL="0" distR="0" wp14:anchorId="414F3C7F" wp14:editId="17D0A570">
            <wp:extent cx="592455" cy="723900"/>
            <wp:effectExtent l="0" t="0" r="0" b="0"/>
            <wp:docPr id="2"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idlapai_gerbonis_kra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723900"/>
                    </a:xfrm>
                    <a:prstGeom prst="rect">
                      <a:avLst/>
                    </a:prstGeom>
                    <a:noFill/>
                    <a:ln>
                      <a:noFill/>
                    </a:ln>
                  </pic:spPr>
                </pic:pic>
              </a:graphicData>
            </a:graphic>
          </wp:inline>
        </w:drawing>
      </w:r>
    </w:p>
    <w:p w14:paraId="65603FC0" w14:textId="77777777" w:rsidR="00CB1C22" w:rsidRPr="00CB1C22" w:rsidRDefault="00CB1C22" w:rsidP="00CB1C22">
      <w:pPr>
        <w:tabs>
          <w:tab w:val="left" w:pos="1680"/>
        </w:tabs>
        <w:spacing w:after="0" w:line="240" w:lineRule="auto"/>
        <w:jc w:val="center"/>
        <w:rPr>
          <w:rFonts w:eastAsia="Times New Roman" w:cs="Times New Roman"/>
          <w:sz w:val="20"/>
          <w:szCs w:val="20"/>
        </w:rPr>
      </w:pPr>
    </w:p>
    <w:p w14:paraId="387A9ACB" w14:textId="77777777" w:rsidR="00CB1C22" w:rsidRPr="00CB1C22" w:rsidRDefault="00CB1C22" w:rsidP="00CB1C22">
      <w:pPr>
        <w:keepNext/>
        <w:tabs>
          <w:tab w:val="left" w:pos="1680"/>
        </w:tabs>
        <w:spacing w:after="0" w:line="360" w:lineRule="auto"/>
        <w:jc w:val="center"/>
        <w:outlineLvl w:val="0"/>
        <w:rPr>
          <w:rFonts w:eastAsia="Times New Roman" w:cs="Times New Roman"/>
          <w:b/>
          <w:sz w:val="28"/>
          <w:szCs w:val="20"/>
        </w:rPr>
      </w:pPr>
      <w:r w:rsidRPr="00CB1C22">
        <w:rPr>
          <w:rFonts w:eastAsia="Times New Roman" w:cs="Times New Roman"/>
          <w:b/>
          <w:sz w:val="28"/>
          <w:szCs w:val="20"/>
        </w:rPr>
        <w:t>ALŪKSNES NOVADA PAŠVALDĪBAS DOME</w:t>
      </w:r>
    </w:p>
    <w:p w14:paraId="529122C1" w14:textId="77777777" w:rsidR="00CB1C22" w:rsidRPr="00CB1C22" w:rsidRDefault="00CB1C22" w:rsidP="00CB1C22">
      <w:pPr>
        <w:tabs>
          <w:tab w:val="left" w:pos="1680"/>
        </w:tabs>
        <w:spacing w:after="0" w:line="240" w:lineRule="auto"/>
        <w:jc w:val="center"/>
        <w:rPr>
          <w:rFonts w:eastAsia="Times New Roman" w:cs="Times New Roman"/>
          <w:sz w:val="16"/>
          <w:szCs w:val="20"/>
        </w:rPr>
      </w:pPr>
      <w:r w:rsidRPr="00CB1C22">
        <w:rPr>
          <w:rFonts w:eastAsia="Times New Roman" w:cs="Times New Roman"/>
          <w:sz w:val="16"/>
          <w:szCs w:val="20"/>
        </w:rPr>
        <w:t>reģistrācijas numurs  90000018622</w:t>
      </w:r>
    </w:p>
    <w:p w14:paraId="24EF2B1E" w14:textId="77777777" w:rsidR="00CB1C22" w:rsidRPr="00CB1C22" w:rsidRDefault="00CB1C22" w:rsidP="00CB1C22">
      <w:pPr>
        <w:tabs>
          <w:tab w:val="left" w:pos="1680"/>
        </w:tabs>
        <w:spacing w:after="0" w:line="240" w:lineRule="auto"/>
        <w:jc w:val="center"/>
        <w:rPr>
          <w:rFonts w:eastAsia="Times New Roman" w:cs="Times New Roman"/>
          <w:sz w:val="16"/>
          <w:szCs w:val="20"/>
        </w:rPr>
      </w:pPr>
      <w:r w:rsidRPr="00CB1C22">
        <w:rPr>
          <w:rFonts w:eastAsia="Times New Roman" w:cs="Times New Roman"/>
          <w:sz w:val="16"/>
          <w:szCs w:val="20"/>
        </w:rPr>
        <w:t xml:space="preserve">DĀRZA IELĀ 11, ALŪKSNĒ,  ALŪKSNES NOVADĀ, LV – 4301, TĀLRUNIS 64381496, </w:t>
      </w:r>
    </w:p>
    <w:p w14:paraId="0655F20C" w14:textId="77777777" w:rsidR="00CB1C22" w:rsidRPr="00CB1C22" w:rsidRDefault="00CB1C22" w:rsidP="00CB1C22">
      <w:pPr>
        <w:tabs>
          <w:tab w:val="left" w:pos="1680"/>
        </w:tabs>
        <w:spacing w:after="0" w:line="240" w:lineRule="auto"/>
        <w:jc w:val="center"/>
        <w:rPr>
          <w:rFonts w:eastAsia="Times New Roman" w:cs="Times New Roman"/>
          <w:sz w:val="16"/>
          <w:szCs w:val="20"/>
        </w:rPr>
      </w:pPr>
      <w:r w:rsidRPr="00CB1C22">
        <w:rPr>
          <w:rFonts w:eastAsia="Times New Roman" w:cs="Times New Roman"/>
          <w:sz w:val="16"/>
          <w:szCs w:val="20"/>
        </w:rPr>
        <w:t>E-PASTS: dome@aluksne.lv</w:t>
      </w:r>
    </w:p>
    <w:p w14:paraId="2A33692A" w14:textId="77777777" w:rsidR="00CB1C22" w:rsidRPr="00CB1C22" w:rsidRDefault="00CB1C22" w:rsidP="00CB1C22">
      <w:pPr>
        <w:pBdr>
          <w:bottom w:val="single" w:sz="4" w:space="1" w:color="auto"/>
        </w:pBdr>
        <w:tabs>
          <w:tab w:val="left" w:pos="1680"/>
        </w:tabs>
        <w:spacing w:after="0" w:line="240" w:lineRule="auto"/>
        <w:jc w:val="center"/>
        <w:rPr>
          <w:rFonts w:eastAsia="Times New Roman" w:cs="Times New Roman"/>
          <w:sz w:val="16"/>
          <w:szCs w:val="20"/>
        </w:rPr>
      </w:pPr>
      <w:r w:rsidRPr="00CB1C22">
        <w:rPr>
          <w:rFonts w:eastAsia="Times New Roman" w:cs="Times New Roman"/>
          <w:sz w:val="16"/>
          <w:szCs w:val="20"/>
        </w:rPr>
        <w:t>A/S „SEB banka”, KODS: UNLALV2X, KONTS Nr.LV58UNLA0025004130335</w:t>
      </w:r>
    </w:p>
    <w:p w14:paraId="11562995" w14:textId="77777777" w:rsidR="00CB1C22" w:rsidRPr="00CB1C22" w:rsidRDefault="00CB1C22" w:rsidP="00CB1C22">
      <w:pPr>
        <w:tabs>
          <w:tab w:val="left" w:pos="1680"/>
        </w:tabs>
        <w:suppressAutoHyphens/>
        <w:spacing w:after="0" w:line="240" w:lineRule="auto"/>
        <w:jc w:val="center"/>
        <w:rPr>
          <w:rFonts w:eastAsia="Times New Roman" w:cs="Times New Roman"/>
          <w:szCs w:val="24"/>
          <w:lang w:eastAsia="ar-SA"/>
        </w:rPr>
      </w:pPr>
      <w:r w:rsidRPr="00CB1C22">
        <w:rPr>
          <w:rFonts w:eastAsia="Times New Roman" w:cs="Times New Roman"/>
          <w:szCs w:val="24"/>
          <w:lang w:eastAsia="ar-SA"/>
        </w:rPr>
        <w:t>Alūksnē</w:t>
      </w:r>
    </w:p>
    <w:p w14:paraId="3185EAE2" w14:textId="77777777" w:rsidR="00CB1C22" w:rsidRPr="00CB1C22" w:rsidRDefault="00CB1C22" w:rsidP="00CB1C22">
      <w:pPr>
        <w:tabs>
          <w:tab w:val="left" w:pos="1680"/>
        </w:tabs>
        <w:suppressAutoHyphens/>
        <w:spacing w:after="0" w:line="240" w:lineRule="auto"/>
        <w:jc w:val="both"/>
        <w:rPr>
          <w:rFonts w:eastAsia="Times New Roman" w:cs="Times New Roman"/>
          <w:szCs w:val="24"/>
          <w:lang w:eastAsia="ar-SA"/>
        </w:rPr>
      </w:pPr>
    </w:p>
    <w:p w14:paraId="7990AAF4" w14:textId="3BC1AEA8" w:rsidR="00CB1C22" w:rsidRPr="00CB1C22" w:rsidRDefault="00CB1C22" w:rsidP="00CB1C22">
      <w:pPr>
        <w:tabs>
          <w:tab w:val="left" w:pos="1680"/>
        </w:tabs>
        <w:suppressAutoHyphens/>
        <w:spacing w:after="0" w:line="240" w:lineRule="auto"/>
        <w:jc w:val="both"/>
        <w:rPr>
          <w:rFonts w:eastAsia="Times New Roman" w:cs="Times New Roman"/>
          <w:szCs w:val="24"/>
          <w:lang w:eastAsia="ar-SA"/>
        </w:rPr>
      </w:pPr>
      <w:r w:rsidRPr="00CB1C22">
        <w:rPr>
          <w:rFonts w:eastAsia="Times New Roman" w:cs="Times New Roman"/>
          <w:szCs w:val="24"/>
          <w:lang w:eastAsia="ar-SA"/>
        </w:rPr>
        <w:t xml:space="preserve">2024. gada </w:t>
      </w:r>
      <w:r>
        <w:rPr>
          <w:rFonts w:eastAsia="Times New Roman" w:cs="Times New Roman"/>
          <w:szCs w:val="24"/>
          <w:lang w:eastAsia="ar-SA"/>
        </w:rPr>
        <w:t>28</w:t>
      </w:r>
      <w:r w:rsidRPr="00CB1C22">
        <w:rPr>
          <w:rFonts w:eastAsia="Times New Roman" w:cs="Times New Roman"/>
          <w:szCs w:val="24"/>
          <w:lang w:eastAsia="ar-SA"/>
        </w:rPr>
        <w:t>. </w:t>
      </w:r>
      <w:r>
        <w:rPr>
          <w:rFonts w:eastAsia="Times New Roman" w:cs="Times New Roman"/>
          <w:szCs w:val="24"/>
          <w:lang w:eastAsia="ar-SA"/>
        </w:rPr>
        <w:t>martā</w:t>
      </w:r>
    </w:p>
    <w:p w14:paraId="3DFB3E17" w14:textId="7042EA99" w:rsidR="00CB1C22" w:rsidRPr="00794C03" w:rsidRDefault="00CB1C22" w:rsidP="00CB1C22">
      <w:pPr>
        <w:tabs>
          <w:tab w:val="left" w:pos="1680"/>
        </w:tabs>
        <w:autoSpaceDE w:val="0"/>
        <w:autoSpaceDN w:val="0"/>
        <w:adjustRightInd w:val="0"/>
        <w:spacing w:after="0" w:line="240" w:lineRule="auto"/>
        <w:jc w:val="right"/>
        <w:rPr>
          <w:rFonts w:eastAsia="Calibri" w:cs="Times New Roman"/>
          <w:b/>
          <w:bCs/>
          <w:color w:val="000000" w:themeColor="text1"/>
          <w:szCs w:val="24"/>
        </w:rPr>
      </w:pPr>
      <w:r w:rsidRPr="00794C03">
        <w:rPr>
          <w:rFonts w:eastAsia="Calibri" w:cs="Times New Roman"/>
          <w:b/>
          <w:bCs/>
          <w:color w:val="000000" w:themeColor="text1"/>
          <w:szCs w:val="24"/>
        </w:rPr>
        <w:t>NOLIKUMS Nr.</w:t>
      </w:r>
      <w:r w:rsidR="00794C03">
        <w:rPr>
          <w:rFonts w:eastAsia="Calibri" w:cs="Times New Roman"/>
          <w:b/>
          <w:bCs/>
          <w:color w:val="000000" w:themeColor="text1"/>
          <w:szCs w:val="24"/>
        </w:rPr>
        <w:t> </w:t>
      </w:r>
      <w:r w:rsidR="00794C03" w:rsidRPr="00794C03">
        <w:rPr>
          <w:rFonts w:eastAsia="Calibri" w:cs="Times New Roman"/>
          <w:b/>
          <w:bCs/>
          <w:color w:val="000000" w:themeColor="text1"/>
          <w:szCs w:val="24"/>
        </w:rPr>
        <w:t>5</w:t>
      </w:r>
      <w:r w:rsidRPr="00794C03">
        <w:rPr>
          <w:rFonts w:eastAsia="Calibri" w:cs="Times New Roman"/>
          <w:b/>
          <w:bCs/>
          <w:color w:val="000000" w:themeColor="text1"/>
          <w:szCs w:val="24"/>
        </w:rPr>
        <w:t>/2024</w:t>
      </w:r>
    </w:p>
    <w:p w14:paraId="6A89BE1D" w14:textId="24C78F9F" w:rsidR="00CB1C22" w:rsidRDefault="00CB1C22" w:rsidP="00CB1C22">
      <w:pPr>
        <w:spacing w:after="0" w:line="240" w:lineRule="auto"/>
        <w:jc w:val="right"/>
        <w:rPr>
          <w:rFonts w:eastAsia="Times New Roman" w:cs="Times New Roman"/>
          <w:szCs w:val="24"/>
        </w:rPr>
      </w:pPr>
      <w:r w:rsidRPr="00CB1C22">
        <w:rPr>
          <w:rFonts w:eastAsia="Times New Roman" w:cs="Times New Roman"/>
          <w:szCs w:val="24"/>
        </w:rPr>
        <w:t>(protokols Nr.</w:t>
      </w:r>
      <w:r>
        <w:rPr>
          <w:rFonts w:eastAsia="Times New Roman" w:cs="Times New Roman"/>
          <w:szCs w:val="24"/>
        </w:rPr>
        <w:t>4</w:t>
      </w:r>
      <w:r w:rsidRPr="00CB1C22">
        <w:rPr>
          <w:rFonts w:eastAsia="Times New Roman" w:cs="Times New Roman"/>
          <w:szCs w:val="24"/>
        </w:rPr>
        <w:t xml:space="preserve">, </w:t>
      </w:r>
      <w:r w:rsidR="00794C03">
        <w:rPr>
          <w:rFonts w:eastAsia="Times New Roman" w:cs="Times New Roman"/>
          <w:szCs w:val="24"/>
        </w:rPr>
        <w:t>20</w:t>
      </w:r>
      <w:r w:rsidRPr="00CB1C22">
        <w:rPr>
          <w:rFonts w:eastAsia="Times New Roman" w:cs="Times New Roman"/>
          <w:szCs w:val="24"/>
        </w:rPr>
        <w:t>. punkts )</w:t>
      </w:r>
    </w:p>
    <w:p w14:paraId="7C6C1AED" w14:textId="77777777" w:rsidR="00C93A3D" w:rsidRDefault="00C93A3D" w:rsidP="00CB1C22">
      <w:pPr>
        <w:spacing w:after="0" w:line="240" w:lineRule="auto"/>
        <w:jc w:val="right"/>
        <w:rPr>
          <w:rFonts w:eastAsia="Times New Roman" w:cs="Times New Roman"/>
          <w:szCs w:val="24"/>
        </w:rPr>
      </w:pPr>
    </w:p>
    <w:p w14:paraId="6281CF1C" w14:textId="77777777" w:rsidR="00C93A3D" w:rsidRPr="00C93A3D" w:rsidRDefault="00C93A3D" w:rsidP="00C93A3D">
      <w:pPr>
        <w:spacing w:after="0" w:line="240" w:lineRule="auto"/>
        <w:jc w:val="right"/>
        <w:rPr>
          <w:rFonts w:eastAsia="Times New Roman" w:cs="Times New Roman"/>
          <w:szCs w:val="24"/>
          <w:lang w:eastAsia="lv-LV"/>
        </w:rPr>
      </w:pPr>
      <w:r w:rsidRPr="00C93A3D">
        <w:rPr>
          <w:rFonts w:eastAsia="Times New Roman" w:cs="Times New Roman"/>
          <w:b/>
          <w:bCs/>
          <w:szCs w:val="24"/>
          <w:lang w:eastAsia="lv-LV"/>
        </w:rPr>
        <w:t>Ar grozījumiem</w:t>
      </w:r>
      <w:r w:rsidRPr="00C93A3D">
        <w:rPr>
          <w:rFonts w:eastAsia="Times New Roman" w:cs="Times New Roman"/>
          <w:szCs w:val="24"/>
          <w:lang w:eastAsia="lv-LV"/>
        </w:rPr>
        <w:t>, kas izdarīti</w:t>
      </w:r>
    </w:p>
    <w:p w14:paraId="28F34874" w14:textId="77777777" w:rsidR="00C93A3D" w:rsidRPr="00C93A3D" w:rsidRDefault="00C93A3D" w:rsidP="00C93A3D">
      <w:pPr>
        <w:spacing w:after="0" w:line="240" w:lineRule="auto"/>
        <w:jc w:val="right"/>
        <w:rPr>
          <w:rFonts w:eastAsia="Times New Roman" w:cs="Times New Roman"/>
          <w:szCs w:val="24"/>
          <w:lang w:eastAsia="lv-LV"/>
        </w:rPr>
      </w:pPr>
      <w:r w:rsidRPr="00C93A3D">
        <w:rPr>
          <w:rFonts w:eastAsia="Times New Roman" w:cs="Times New Roman"/>
          <w:szCs w:val="24"/>
          <w:lang w:eastAsia="lv-LV"/>
        </w:rPr>
        <w:t>ar Alūksnes novada pašvaldības domes</w:t>
      </w:r>
    </w:p>
    <w:p w14:paraId="182F5778" w14:textId="37B4D167" w:rsidR="00C93A3D" w:rsidRPr="00C93A3D" w:rsidRDefault="00C93A3D" w:rsidP="00C93A3D">
      <w:pPr>
        <w:spacing w:after="0" w:line="240" w:lineRule="auto"/>
        <w:jc w:val="right"/>
        <w:rPr>
          <w:rFonts w:eastAsia="Times New Roman" w:cs="Times New Roman"/>
          <w:szCs w:val="24"/>
          <w:lang w:eastAsia="lv-LV"/>
        </w:rPr>
      </w:pPr>
      <w:r>
        <w:rPr>
          <w:rFonts w:eastAsia="Times New Roman" w:cs="Times New Roman"/>
          <w:szCs w:val="24"/>
          <w:lang w:eastAsia="lv-LV"/>
        </w:rPr>
        <w:t>23.12</w:t>
      </w:r>
      <w:r w:rsidRPr="00C93A3D">
        <w:rPr>
          <w:rFonts w:eastAsia="Times New Roman" w:cs="Times New Roman"/>
          <w:szCs w:val="24"/>
          <w:lang w:eastAsia="lv-LV"/>
        </w:rPr>
        <w:t>.2025. lēmumu Nr.</w:t>
      </w:r>
      <w:r>
        <w:rPr>
          <w:rFonts w:eastAsia="Times New Roman" w:cs="Times New Roman"/>
          <w:szCs w:val="24"/>
          <w:lang w:eastAsia="lv-LV"/>
        </w:rPr>
        <w:t>373</w:t>
      </w:r>
    </w:p>
    <w:p w14:paraId="12D0776A" w14:textId="2CA02DC3" w:rsidR="00C93A3D" w:rsidRPr="00CB1C22" w:rsidRDefault="00C93A3D" w:rsidP="00C93A3D">
      <w:pPr>
        <w:spacing w:after="0" w:line="240" w:lineRule="auto"/>
        <w:jc w:val="right"/>
        <w:rPr>
          <w:rFonts w:eastAsia="Times New Roman" w:cs="Times New Roman"/>
          <w:szCs w:val="24"/>
        </w:rPr>
      </w:pPr>
      <w:r w:rsidRPr="00C93A3D">
        <w:rPr>
          <w:rFonts w:eastAsia="Times New Roman" w:cs="Times New Roman"/>
          <w:szCs w:val="24"/>
          <w:lang w:eastAsia="lv-LV"/>
        </w:rPr>
        <w:t>(sēdes protokols Nr.</w:t>
      </w:r>
      <w:r>
        <w:rPr>
          <w:rFonts w:eastAsia="Times New Roman" w:cs="Times New Roman"/>
          <w:szCs w:val="24"/>
          <w:lang w:eastAsia="lv-LV"/>
        </w:rPr>
        <w:t>20</w:t>
      </w:r>
      <w:r w:rsidRPr="00C93A3D">
        <w:rPr>
          <w:rFonts w:eastAsia="Times New Roman" w:cs="Times New Roman"/>
          <w:szCs w:val="24"/>
          <w:lang w:eastAsia="lv-LV"/>
        </w:rPr>
        <w:t xml:space="preserve">, </w:t>
      </w:r>
      <w:r>
        <w:rPr>
          <w:rFonts w:eastAsia="Times New Roman" w:cs="Times New Roman"/>
          <w:szCs w:val="24"/>
          <w:lang w:eastAsia="lv-LV"/>
        </w:rPr>
        <w:t>20</w:t>
      </w:r>
      <w:r w:rsidRPr="00C93A3D">
        <w:rPr>
          <w:rFonts w:eastAsia="Times New Roman" w:cs="Times New Roman"/>
          <w:szCs w:val="24"/>
          <w:lang w:eastAsia="lv-LV"/>
        </w:rPr>
        <w:t>.punkts)</w:t>
      </w:r>
    </w:p>
    <w:p w14:paraId="76902EA4" w14:textId="77777777" w:rsidR="00CB1C22" w:rsidRDefault="00CB1C22" w:rsidP="00CB1C22">
      <w:pPr>
        <w:spacing w:after="0"/>
        <w:jc w:val="center"/>
        <w:rPr>
          <w:rFonts w:eastAsia="Calibri" w:cs="Times New Roman"/>
          <w:b/>
          <w:szCs w:val="24"/>
        </w:rPr>
      </w:pPr>
    </w:p>
    <w:p w14:paraId="006AC762" w14:textId="4F010E58" w:rsidR="00CB1C22" w:rsidRPr="000E2C39" w:rsidRDefault="00CB1C22" w:rsidP="00CB1C22">
      <w:pPr>
        <w:spacing w:after="0"/>
        <w:jc w:val="center"/>
        <w:rPr>
          <w:rFonts w:eastAsia="Calibri" w:cs="Times New Roman"/>
          <w:b/>
          <w:szCs w:val="24"/>
        </w:rPr>
      </w:pPr>
      <w:r w:rsidRPr="000E2C39">
        <w:rPr>
          <w:rFonts w:eastAsia="Calibri" w:cs="Times New Roman"/>
          <w:b/>
          <w:szCs w:val="24"/>
        </w:rPr>
        <w:t>Alūksnes novada pašvaldības iestādes “Būvvalde”</w:t>
      </w:r>
    </w:p>
    <w:p w14:paraId="1B6FB666" w14:textId="77777777" w:rsidR="00CB1C22" w:rsidRPr="000E2C39" w:rsidRDefault="00CB1C22" w:rsidP="00CB1C22">
      <w:pPr>
        <w:spacing w:after="0"/>
        <w:jc w:val="center"/>
        <w:rPr>
          <w:rFonts w:eastAsia="Calibri" w:cs="Times New Roman"/>
          <w:b/>
          <w:szCs w:val="24"/>
        </w:rPr>
      </w:pPr>
      <w:r w:rsidRPr="000E2C39">
        <w:rPr>
          <w:rFonts w:eastAsia="Calibri" w:cs="Times New Roman"/>
          <w:b/>
          <w:szCs w:val="24"/>
        </w:rPr>
        <w:t>NOLIKUMS</w:t>
      </w:r>
    </w:p>
    <w:p w14:paraId="27B51896" w14:textId="77777777" w:rsidR="00CB1C22" w:rsidRPr="000E2C39" w:rsidRDefault="00CB1C22" w:rsidP="00CB1C22">
      <w:pPr>
        <w:spacing w:after="0" w:line="240" w:lineRule="auto"/>
        <w:jc w:val="right"/>
        <w:rPr>
          <w:rFonts w:eastAsia="Calibri" w:cs="Times New Roman"/>
        </w:rPr>
      </w:pPr>
    </w:p>
    <w:p w14:paraId="705B3FA3" w14:textId="77777777" w:rsidR="00967C61" w:rsidRDefault="00967C61" w:rsidP="00967C61">
      <w:pPr>
        <w:spacing w:after="0" w:line="240" w:lineRule="auto"/>
        <w:jc w:val="right"/>
        <w:rPr>
          <w:rFonts w:eastAsia="Calibri" w:cs="Times New Roman"/>
          <w:i/>
          <w:iCs/>
        </w:rPr>
      </w:pPr>
      <w:r>
        <w:rPr>
          <w:rFonts w:eastAsia="Calibri" w:cs="Times New Roman"/>
          <w:i/>
          <w:iCs/>
        </w:rPr>
        <w:t xml:space="preserve">        </w:t>
      </w:r>
      <w:r w:rsidR="00CB1C22" w:rsidRPr="000E2C39">
        <w:rPr>
          <w:rFonts w:eastAsia="Calibri" w:cs="Times New Roman"/>
          <w:i/>
          <w:iCs/>
        </w:rPr>
        <w:t>Izdots saskaņā ar Pašvaldību likuma 10.</w:t>
      </w:r>
      <w:r w:rsidR="00CB1C22">
        <w:rPr>
          <w:rFonts w:eastAsia="Calibri" w:cs="Times New Roman"/>
          <w:i/>
          <w:iCs/>
        </w:rPr>
        <w:t> </w:t>
      </w:r>
      <w:r w:rsidR="00CB1C22" w:rsidRPr="000E2C39">
        <w:rPr>
          <w:rFonts w:eastAsia="Calibri" w:cs="Times New Roman"/>
          <w:i/>
          <w:iCs/>
        </w:rPr>
        <w:t>panta pirmās daļas 8.</w:t>
      </w:r>
      <w:r w:rsidR="00CB1C22">
        <w:rPr>
          <w:rFonts w:eastAsia="Calibri" w:cs="Times New Roman"/>
          <w:i/>
          <w:iCs/>
        </w:rPr>
        <w:t> </w:t>
      </w:r>
      <w:r w:rsidR="00CB1C22" w:rsidRPr="000E2C39">
        <w:rPr>
          <w:rFonts w:eastAsia="Calibri" w:cs="Times New Roman"/>
          <w:i/>
          <w:iCs/>
        </w:rPr>
        <w:t>punktu</w:t>
      </w:r>
      <w:r w:rsidR="006D456C">
        <w:rPr>
          <w:rFonts w:eastAsia="Calibri" w:cs="Times New Roman"/>
          <w:i/>
          <w:iCs/>
        </w:rPr>
        <w:t>,</w:t>
      </w:r>
    </w:p>
    <w:p w14:paraId="79A744A5" w14:textId="2FD3EDEC" w:rsidR="00CB1C22" w:rsidRPr="000E2C39" w:rsidRDefault="00CB1C22" w:rsidP="00967C61">
      <w:pPr>
        <w:spacing w:after="0" w:line="240" w:lineRule="auto"/>
        <w:jc w:val="right"/>
        <w:rPr>
          <w:rFonts w:eastAsia="Calibri" w:cs="Times New Roman"/>
          <w:i/>
          <w:iCs/>
        </w:rPr>
      </w:pPr>
      <w:r w:rsidRPr="000E2C39">
        <w:rPr>
          <w:rFonts w:eastAsia="Calibri" w:cs="Times New Roman"/>
          <w:i/>
          <w:iCs/>
        </w:rPr>
        <w:t xml:space="preserve">Valsts pārvaldes iekārtas likuma </w:t>
      </w:r>
      <w:r>
        <w:rPr>
          <w:rFonts w:eastAsia="Calibri" w:cs="Times New Roman"/>
          <w:i/>
          <w:iCs/>
        </w:rPr>
        <w:t xml:space="preserve">28. pantu, </w:t>
      </w:r>
      <w:r w:rsidRPr="000E2C39">
        <w:rPr>
          <w:rFonts w:eastAsia="Calibri" w:cs="Times New Roman"/>
          <w:i/>
          <w:iCs/>
        </w:rPr>
        <w:t>73.</w:t>
      </w:r>
      <w:r>
        <w:rPr>
          <w:rFonts w:eastAsia="Calibri" w:cs="Times New Roman"/>
          <w:i/>
          <w:iCs/>
        </w:rPr>
        <w:t> </w:t>
      </w:r>
      <w:r w:rsidRPr="000E2C39">
        <w:rPr>
          <w:rFonts w:eastAsia="Calibri" w:cs="Times New Roman"/>
          <w:i/>
          <w:iCs/>
        </w:rPr>
        <w:t>panta pirmās daļas 1.</w:t>
      </w:r>
      <w:r>
        <w:rPr>
          <w:rFonts w:eastAsia="Calibri" w:cs="Times New Roman"/>
          <w:i/>
          <w:iCs/>
        </w:rPr>
        <w:t> </w:t>
      </w:r>
      <w:r w:rsidRPr="000E2C39">
        <w:rPr>
          <w:rFonts w:eastAsia="Calibri" w:cs="Times New Roman"/>
          <w:i/>
          <w:iCs/>
        </w:rPr>
        <w:t xml:space="preserve">punktu </w:t>
      </w:r>
    </w:p>
    <w:p w14:paraId="2101593E" w14:textId="77777777" w:rsidR="00CB1C22" w:rsidRPr="000E2C39" w:rsidRDefault="00CB1C22" w:rsidP="00CB1C22">
      <w:pPr>
        <w:keepNext/>
        <w:keepLines/>
        <w:spacing w:before="240" w:after="120" w:line="240" w:lineRule="auto"/>
        <w:ind w:left="284"/>
        <w:jc w:val="center"/>
        <w:outlineLvl w:val="0"/>
        <w:rPr>
          <w:rFonts w:eastAsia="Times New Roman" w:cs="Times New Roman"/>
          <w:b/>
          <w:bCs/>
          <w:szCs w:val="24"/>
        </w:rPr>
      </w:pPr>
      <w:r w:rsidRPr="000E2C39">
        <w:rPr>
          <w:rFonts w:eastAsia="Times New Roman" w:cs="Times New Roman"/>
          <w:b/>
          <w:bCs/>
          <w:szCs w:val="24"/>
        </w:rPr>
        <w:t>I Vispārīgie jautājumi</w:t>
      </w:r>
    </w:p>
    <w:p w14:paraId="4BC95732"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 ir Alūksnes novada pašvaldības, turpmāk – Pašvaldība, domes padotībā esoša pastarpinātā pārvaldes iestāde. Tai ir zīmogs ar Alūksnes novada ģerboņa attēlu un tekstu “Latvijas republika”, “Alūksnes novada pašvaldība”, “Būvvalde”, kā arī Pašvaldības iekšējos normatīvos aktos noteikta parauga veidlapa.</w:t>
      </w:r>
    </w:p>
    <w:p w14:paraId="0622F16F"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 Pašvaldības domes noteikto pilnvaru ietvaros veic Pašvaldības kompetencē esošās funkcijas būvniecības jomā.</w:t>
      </w:r>
    </w:p>
    <w:p w14:paraId="0594E1C1"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Būvvaldes darbības mērķis ir nodrošināt būvniecības procesa tiesiskumu, vides arhitektonisko kvalitāti, veidojot līdzsvarotu, vizuāli pievilcīgu novada identitāti Pašvaldības administratīvajā teritorijā, atbilstoši tās attīstības plānam, teritorijas plānojumam, spēkā esošajiem normatīvajiem aktiem un apbūves noteikumiem, saglabājot dabas un kultūrvēsturiskās vērtības.</w:t>
      </w:r>
    </w:p>
    <w:p w14:paraId="3BA565F5"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Būvvaldes mērķu realizācijai nepieciešamo lēmumu pieņemšanā Būvvalde ir neatkarīga institūcija, bet Pašvaldības iestādes darba organizācijā un finansēs Būvvaldes darbību pārrauga Pašvaldības domes pilnvarotā amatpersona – izpilddirektors.</w:t>
      </w:r>
    </w:p>
    <w:p w14:paraId="53452E5C"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 atrodas Dārza ielā 11, Alūksnē, Alūksnes novadā. Būvvaldes darba laiku un apmeklētāju pieņemšanas laiku, saskaņojot ar Pašvaldības izpilddirektoru, nosaka Būvvaldes vadītājs.</w:t>
      </w:r>
    </w:p>
    <w:p w14:paraId="20106EC5" w14:textId="77777777" w:rsidR="00CB1C22" w:rsidRPr="000E2C39" w:rsidRDefault="00CB1C22" w:rsidP="00CB1C22">
      <w:pPr>
        <w:spacing w:after="120" w:line="240" w:lineRule="auto"/>
        <w:ind w:left="426"/>
        <w:jc w:val="center"/>
        <w:rPr>
          <w:rFonts w:eastAsia="Calibri" w:cs="Times New Roman"/>
          <w:b/>
        </w:rPr>
      </w:pPr>
      <w:r w:rsidRPr="000E2C39">
        <w:rPr>
          <w:rFonts w:eastAsia="Calibri" w:cs="Times New Roman"/>
          <w:b/>
        </w:rPr>
        <w:t>II Būvvaldes funkcijas, uzdevumi un kompetence</w:t>
      </w:r>
    </w:p>
    <w:p w14:paraId="31762BE5"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Būvvaldes funkcija ir nodrošināt būvniecības administratīvā procesa kontroli un tiesiskumu Alūksnes novada administratīvajā teritorijā.</w:t>
      </w:r>
    </w:p>
    <w:p w14:paraId="1D7ED01A"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Būvvaldes uzdevumi:</w:t>
      </w:r>
    </w:p>
    <w:p w14:paraId="25023C1B"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lastRenderedPageBreak/>
        <w:t>izskatīt iesniegumus un pieņemt lēmumus par būvniecības ieceri, kā arī pārbaudīt lēmumos ietverto nosacījumu izpildi un iesniegto dokumentu saturu normatīvajos aktos noteiktajā apjomā;</w:t>
      </w:r>
    </w:p>
    <w:p w14:paraId="61C8964C" w14:textId="77777777" w:rsidR="00CB1C22" w:rsidRPr="00807D7B" w:rsidRDefault="00CB1C22" w:rsidP="00CB1C22">
      <w:pPr>
        <w:pStyle w:val="Sarakstarindkopa"/>
        <w:numPr>
          <w:ilvl w:val="1"/>
          <w:numId w:val="1"/>
        </w:numPr>
        <w:spacing w:after="120" w:line="240" w:lineRule="auto"/>
        <w:ind w:left="1134" w:hanging="425"/>
        <w:rPr>
          <w:rFonts w:eastAsia="Calibri" w:cs="Times New Roman"/>
        </w:rPr>
      </w:pPr>
      <w:r w:rsidRPr="00807D7B">
        <w:rPr>
          <w:rFonts w:eastAsia="Calibri" w:cs="Times New Roman"/>
        </w:rPr>
        <w:t>izsniegt izziņas par jaunbūvju vai nepabeigtās būvniecības objektu faktisko stāvokli;</w:t>
      </w:r>
    </w:p>
    <w:p w14:paraId="673ACE2E"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t>pēc nekustamā īpašuma īpašnieka, vai, ja tāda nav, tiesiskā valdītāja pieprasījuma saņemšanas, izdot dokumentu, kas apliecina būves neesamību dabā;</w:t>
      </w:r>
    </w:p>
    <w:p w14:paraId="56049C1E"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t>konsultēt Pašvaldības vadību, administrāciju un Pašvaldības iestādes ar būvniecības procesu (sagatavošanu un izpildi) un būvju ekspluatēšanu saistītos jautājumos;</w:t>
      </w:r>
    </w:p>
    <w:p w14:paraId="09E609D6"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t>pieņemt apmeklētājus un izskatīt iesniegumus, veikt saraksti ar fiziskām un juridiskām personām atbilstoši normatīvo aktu prasībām;</w:t>
      </w:r>
    </w:p>
    <w:p w14:paraId="59140F89"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t>pieprasīt būvuzraudzības un autoruzraudzības veikšanu saskaņā ar Vispārīgo būvnoteikumu un citu būvniecību reglamentējošo tiesību aktu prasībām;</w:t>
      </w:r>
    </w:p>
    <w:p w14:paraId="71A4EED5"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t>kontrolēt, kā būvniecības dalībnieki ievēro Būvniecības likuma un citu būvniecību reglamentējošo normatīvo aktu prasības;</w:t>
      </w:r>
    </w:p>
    <w:p w14:paraId="5F6B4914"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t>pieņemt būves ekspluatācijā;</w:t>
      </w:r>
    </w:p>
    <w:p w14:paraId="31DF6D17" w14:textId="77777777" w:rsidR="00CB1C22" w:rsidRPr="00807D7B" w:rsidRDefault="00CB1C22" w:rsidP="00CB1C22">
      <w:pPr>
        <w:pStyle w:val="Sarakstarindkopa"/>
        <w:numPr>
          <w:ilvl w:val="1"/>
          <w:numId w:val="1"/>
        </w:numPr>
        <w:spacing w:after="120" w:line="240" w:lineRule="auto"/>
        <w:ind w:left="1134" w:hanging="425"/>
        <w:jc w:val="both"/>
        <w:rPr>
          <w:rFonts w:eastAsia="Calibri" w:cs="Times New Roman"/>
        </w:rPr>
      </w:pPr>
      <w:r w:rsidRPr="00807D7B">
        <w:rPr>
          <w:rFonts w:eastAsia="Calibri" w:cs="Times New Roman"/>
        </w:rPr>
        <w:t>kontrolēt publiskās vietās un vietās, kas vērstas pret publisku vietu, izvietojamo un izvietoto reklāmas materiālu, izkārtņu, sludinājumu un citu informatīvo materiālu atbilstību normatīvajiem aktiem;</w:t>
      </w:r>
    </w:p>
    <w:p w14:paraId="6368E99D"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veikt būvju ekspluatācijas kontroli, kontrolēt esošās apbūves atbilstību normatīvajiem aktiem;</w:t>
      </w:r>
    </w:p>
    <w:p w14:paraId="4AD71935"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ierosināt Pašvaldības domei pieņemt lēmumus par cilvēku drošību apdraudošu objektu sakārtošanu tādā apmērā, lai novērstu bīstamību un apdraudējumu cilvēku drošībai, ja būves īpašnieks neizpilda Būvvaldes lēmumu par pilnīgi, vai daļēji sagruvušas būves sakārtošanu, lai tā neradītu bīstamību;</w:t>
      </w:r>
    </w:p>
    <w:p w14:paraId="38EED2AE"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pieņemt lēmumus par sagruvušu, cilvēku drošību apdraudošu vai vidi degradējošu būvju sakārtošanu, konservāciju vai nojaukšanu;</w:t>
      </w:r>
    </w:p>
    <w:p w14:paraId="3D15418A"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ierosināt un organizēt kvalitatīvas vides veidošanas un būvniecības ieceru publisku apspriešanu saskaņā ar tiesību aktu prasībām;</w:t>
      </w:r>
    </w:p>
    <w:p w14:paraId="73802D49"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 xml:space="preserve">apkopot un analizēt informāciju par situāciju Pašvaldības teritorijā būvniecības jautājumos, reizi gadā sniedzot Pašvaldības izpilddirektoram pārskatu par Būvvaldes funkciju izpildi </w:t>
      </w:r>
      <w:r w:rsidRPr="00A250B5">
        <w:t>un tās rīcībā esošo līdzekļu izlietojumu</w:t>
      </w:r>
      <w:r w:rsidRPr="00807D7B">
        <w:rPr>
          <w:rFonts w:eastAsia="Calibri" w:cs="Times New Roman"/>
        </w:rPr>
        <w:t>;</w:t>
      </w:r>
    </w:p>
    <w:p w14:paraId="175647C7"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izstrādāt normatīvo aktu projektus Būvvaldes kompetencē esošajos jautājumos;</w:t>
      </w:r>
    </w:p>
    <w:p w14:paraId="640C5350"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 xml:space="preserve">organizēt un veikt teritorijas plānošanas dokumentu izstrādi un ievietošanu teritorijas attīstības plānošanas informācijas sistēmā (TAPIS), </w:t>
      </w:r>
    </w:p>
    <w:p w14:paraId="47E522D7"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koordinē</w:t>
      </w:r>
      <w:r>
        <w:rPr>
          <w:rFonts w:eastAsia="Calibri" w:cs="Times New Roman"/>
        </w:rPr>
        <w:t>t</w:t>
      </w:r>
      <w:r w:rsidRPr="00807D7B">
        <w:rPr>
          <w:rFonts w:eastAsia="Calibri" w:cs="Times New Roman"/>
        </w:rPr>
        <w:t xml:space="preserve"> pašvaldības teritorijas plānojuma, lokālplānojuma, detālplānojuma izstrādi </w:t>
      </w:r>
      <w:r w:rsidRPr="00807D7B">
        <w:rPr>
          <w:rFonts w:eastAsia="Times New Roman"/>
        </w:rPr>
        <w:t>organizēt to ieviešanas un uzraudzības procesus</w:t>
      </w:r>
      <w:r w:rsidRPr="00807D7B">
        <w:rPr>
          <w:rFonts w:eastAsia="Calibri" w:cs="Times New Roman"/>
        </w:rPr>
        <w:t>;</w:t>
      </w:r>
    </w:p>
    <w:p w14:paraId="0EA707E4" w14:textId="77777777" w:rsidR="00353E81" w:rsidRDefault="00CB1C22" w:rsidP="00353E81">
      <w:pPr>
        <w:pStyle w:val="Sarakstarindkopa"/>
        <w:numPr>
          <w:ilvl w:val="1"/>
          <w:numId w:val="1"/>
        </w:numPr>
        <w:spacing w:after="120" w:line="240" w:lineRule="auto"/>
        <w:ind w:left="1276" w:hanging="567"/>
        <w:jc w:val="both"/>
        <w:rPr>
          <w:rFonts w:eastAsia="Calibri" w:cs="Times New Roman"/>
        </w:rPr>
      </w:pPr>
      <w:r w:rsidRPr="007B2B14">
        <w:rPr>
          <w:rFonts w:eastAsia="Calibri" w:cs="Times New Roman"/>
        </w:rPr>
        <w:t>vei</w:t>
      </w:r>
      <w:r>
        <w:rPr>
          <w:rFonts w:eastAsia="Calibri" w:cs="Times New Roman"/>
        </w:rPr>
        <w:t>kt</w:t>
      </w:r>
      <w:r w:rsidRPr="007B2B14">
        <w:rPr>
          <w:rFonts w:eastAsia="Calibri" w:cs="Times New Roman"/>
        </w:rPr>
        <w:t xml:space="preserve"> vietējās nozīmes kultūras pieminekļu saglabāšanas uzraudzību atbilstoši normatīvos par kultūras pieminekļu aizsardzību noteiktajai pašvaldības funkcijai sadarbojoties ar valsts institūcijām un pašvaldības iestādēm;</w:t>
      </w:r>
    </w:p>
    <w:p w14:paraId="29249FE6" w14:textId="2DCAEE52" w:rsidR="00C93A3D" w:rsidRPr="00353E81" w:rsidRDefault="00353E81" w:rsidP="00967C61">
      <w:pPr>
        <w:pStyle w:val="Sarakstarindkopa"/>
        <w:spacing w:after="120" w:line="240" w:lineRule="auto"/>
        <w:ind w:left="1276" w:hanging="567"/>
        <w:jc w:val="both"/>
        <w:rPr>
          <w:rFonts w:eastAsia="Calibri" w:cs="Times New Roman"/>
        </w:rPr>
      </w:pPr>
      <w:r w:rsidRPr="00353E81">
        <w:rPr>
          <w:rFonts w:eastAsia="Calibri" w:cs="Times New Roman"/>
        </w:rPr>
        <w:t>7.18.</w:t>
      </w:r>
      <w:r w:rsidRPr="00353E81">
        <w:rPr>
          <w:rFonts w:eastAsia="Calibri" w:cs="Times New Roman"/>
          <w:vertAlign w:val="superscript"/>
        </w:rPr>
        <w:t xml:space="preserve">1 </w:t>
      </w:r>
      <w:r w:rsidR="00A1118C">
        <w:rPr>
          <w:rFonts w:eastAsia="Calibri" w:cs="Times New Roman"/>
          <w:vertAlign w:val="superscript"/>
        </w:rPr>
        <w:t xml:space="preserve"> </w:t>
      </w:r>
      <w:r w:rsidR="00C93A3D" w:rsidRPr="00353E81">
        <w:rPr>
          <w:rFonts w:eastAsia="Calibri" w:cs="Times New Roman"/>
        </w:rPr>
        <w:t>veikt normatīvajos aktos noteiktās pašvaldības kompetencē esošās funkcijas bieži sastopamo derīgo izrakteņu ieguves atļaujas izsniegšanu, grozīšanu, atcelšanu, lēmumu pieņemšanu, projektu/rekultivācijas veidu saskaņošanu, pabeigto rekultivācijas darbu pieņemšanu;</w:t>
      </w:r>
    </w:p>
    <w:p w14:paraId="7D16FF8F" w14:textId="4E19D008" w:rsidR="00C93A3D" w:rsidRPr="00C93A3D" w:rsidRDefault="00C93A3D" w:rsidP="00967C61">
      <w:pPr>
        <w:pStyle w:val="Sarakstarindkopa"/>
        <w:spacing w:after="120" w:line="240" w:lineRule="auto"/>
        <w:ind w:left="1276" w:hanging="567"/>
        <w:jc w:val="both"/>
        <w:rPr>
          <w:rFonts w:eastAsia="Calibri" w:cs="Times New Roman"/>
        </w:rPr>
      </w:pPr>
      <w:r w:rsidRPr="00C93A3D">
        <w:rPr>
          <w:rFonts w:eastAsia="Calibri" w:cs="Times New Roman"/>
        </w:rPr>
        <w:t>7.18.</w:t>
      </w:r>
      <w:r>
        <w:rPr>
          <w:rFonts w:eastAsia="Calibri" w:cs="Times New Roman"/>
          <w:vertAlign w:val="superscript"/>
        </w:rPr>
        <w:t>2</w:t>
      </w:r>
      <w:r w:rsidR="00A1118C">
        <w:rPr>
          <w:rFonts w:eastAsia="Calibri" w:cs="Times New Roman"/>
          <w:vertAlign w:val="superscript"/>
        </w:rPr>
        <w:t xml:space="preserve"> </w:t>
      </w:r>
      <w:r w:rsidRPr="00C93A3D">
        <w:rPr>
          <w:rFonts w:eastAsia="Calibri" w:cs="Times New Roman"/>
        </w:rPr>
        <w:t>sagatavot un izsniegt izziņas par apmežošanas un citu plānoto ieceru atbilstību teritorijas plānojumam;</w:t>
      </w:r>
    </w:p>
    <w:p w14:paraId="615D4799" w14:textId="184181A5" w:rsidR="00C93A3D" w:rsidRDefault="00C93A3D" w:rsidP="00967C61">
      <w:pPr>
        <w:pStyle w:val="Sarakstarindkopa"/>
        <w:spacing w:after="120" w:line="240" w:lineRule="auto"/>
        <w:ind w:left="1276" w:hanging="567"/>
        <w:jc w:val="both"/>
        <w:rPr>
          <w:rFonts w:eastAsia="Calibri" w:cs="Times New Roman"/>
        </w:rPr>
      </w:pPr>
      <w:r w:rsidRPr="00C93A3D">
        <w:rPr>
          <w:rFonts w:eastAsia="Calibri" w:cs="Times New Roman"/>
        </w:rPr>
        <w:t>7.18.</w:t>
      </w:r>
      <w:r>
        <w:rPr>
          <w:rFonts w:eastAsia="Calibri" w:cs="Times New Roman"/>
          <w:vertAlign w:val="superscript"/>
        </w:rPr>
        <w:t>3</w:t>
      </w:r>
      <w:r w:rsidR="00A1118C">
        <w:rPr>
          <w:rFonts w:eastAsia="Calibri" w:cs="Times New Roman"/>
        </w:rPr>
        <w:t xml:space="preserve"> </w:t>
      </w:r>
      <w:r w:rsidRPr="00C93A3D">
        <w:rPr>
          <w:rFonts w:eastAsia="Calibri" w:cs="Times New Roman"/>
        </w:rPr>
        <w:t>veikt normatīvajos aktos noteiktās pašvaldības kompetencē esošās funkcijas lauksaimniecībā izmantojamās zemes ierīkošanai mežā, pieņemt lēmumus par meža zemes atmežošanu;</w:t>
      </w:r>
    </w:p>
    <w:p w14:paraId="6A3FFDCF" w14:textId="283532C0" w:rsidR="00F334A5" w:rsidRPr="00F334A5" w:rsidRDefault="00F31159" w:rsidP="00967C61">
      <w:pPr>
        <w:pStyle w:val="Sarakstarindkopa"/>
        <w:spacing w:after="120" w:line="240" w:lineRule="auto"/>
        <w:ind w:left="1276" w:hanging="567"/>
        <w:jc w:val="both"/>
        <w:rPr>
          <w:rFonts w:eastAsia="Calibri" w:cs="Times New Roman"/>
          <w:i/>
          <w:iCs/>
          <w:sz w:val="20"/>
          <w:szCs w:val="20"/>
        </w:rPr>
      </w:pPr>
      <w:r>
        <w:rPr>
          <w:rFonts w:eastAsia="Calibri" w:cs="Times New Roman"/>
          <w:i/>
          <w:iCs/>
          <w:sz w:val="20"/>
          <w:szCs w:val="20"/>
        </w:rPr>
        <w:t xml:space="preserve">           </w:t>
      </w:r>
      <w:r w:rsidR="00F334A5" w:rsidRPr="00F334A5">
        <w:rPr>
          <w:rFonts w:eastAsia="Calibri" w:cs="Times New Roman"/>
          <w:i/>
          <w:iCs/>
          <w:sz w:val="20"/>
          <w:szCs w:val="20"/>
        </w:rPr>
        <w:t>(</w:t>
      </w:r>
      <w:r w:rsidR="00A1118C">
        <w:rPr>
          <w:rFonts w:eastAsia="Calibri" w:cs="Times New Roman"/>
          <w:i/>
          <w:iCs/>
          <w:sz w:val="20"/>
          <w:szCs w:val="20"/>
        </w:rPr>
        <w:t>A</w:t>
      </w:r>
      <w:r w:rsidR="00F334A5" w:rsidRPr="00F334A5">
        <w:rPr>
          <w:rFonts w:eastAsia="Calibri" w:cs="Times New Roman"/>
          <w:i/>
          <w:iCs/>
          <w:sz w:val="20"/>
          <w:szCs w:val="20"/>
        </w:rPr>
        <w:t>r Alūksnes novada domes 23.12.2025. lēmum</w:t>
      </w:r>
      <w:r w:rsidR="00A1118C">
        <w:rPr>
          <w:rFonts w:eastAsia="Calibri" w:cs="Times New Roman"/>
          <w:i/>
          <w:iCs/>
          <w:sz w:val="20"/>
          <w:szCs w:val="20"/>
        </w:rPr>
        <w:t>a</w:t>
      </w:r>
      <w:r w:rsidR="00F334A5" w:rsidRPr="00F334A5">
        <w:rPr>
          <w:rFonts w:eastAsia="Calibri" w:cs="Times New Roman"/>
          <w:i/>
          <w:iCs/>
          <w:sz w:val="20"/>
          <w:szCs w:val="20"/>
        </w:rPr>
        <w:t xml:space="preserve"> Nr. 373</w:t>
      </w:r>
      <w:r w:rsidR="00A1118C">
        <w:rPr>
          <w:rFonts w:eastAsia="Calibri" w:cs="Times New Roman"/>
          <w:i/>
          <w:iCs/>
          <w:sz w:val="20"/>
          <w:szCs w:val="20"/>
        </w:rPr>
        <w:t xml:space="preserve"> redakciju (protokols Nr. 20, 20. p.</w:t>
      </w:r>
      <w:r w:rsidR="00F334A5" w:rsidRPr="00F334A5">
        <w:rPr>
          <w:rFonts w:eastAsia="Calibri" w:cs="Times New Roman"/>
          <w:i/>
          <w:iCs/>
          <w:sz w:val="20"/>
          <w:szCs w:val="20"/>
        </w:rPr>
        <w:t>)</w:t>
      </w:r>
    </w:p>
    <w:p w14:paraId="28065E58" w14:textId="77777777" w:rsidR="00CB1C22" w:rsidRPr="007B2B14" w:rsidRDefault="00CB1C22" w:rsidP="00CB1C22">
      <w:pPr>
        <w:pStyle w:val="Sarakstarindkopa"/>
        <w:numPr>
          <w:ilvl w:val="1"/>
          <w:numId w:val="1"/>
        </w:numPr>
        <w:spacing w:after="120" w:line="240" w:lineRule="auto"/>
        <w:ind w:left="1276" w:hanging="567"/>
        <w:jc w:val="both"/>
        <w:rPr>
          <w:rFonts w:eastAsia="Calibri" w:cs="Times New Roman"/>
        </w:rPr>
      </w:pPr>
      <w:r w:rsidRPr="007B2B14">
        <w:rPr>
          <w:rFonts w:eastAsia="Calibri" w:cs="Times New Roman"/>
        </w:rPr>
        <w:t>pildīt citus uzdevumus atbilstoši normatīvajiem aktiem, Pašvaldības domes lēmumiem, Pašvaldības nolikumam un Pašvaldības vadības rīkojumiem.</w:t>
      </w:r>
    </w:p>
    <w:p w14:paraId="175E1D14" w14:textId="77777777" w:rsidR="00CB1C22" w:rsidRPr="000E2C39" w:rsidRDefault="00CB1C22" w:rsidP="00CB1C22">
      <w:pPr>
        <w:spacing w:after="120" w:line="240" w:lineRule="auto"/>
        <w:rPr>
          <w:rFonts w:eastAsia="Calibri" w:cs="Times New Roman"/>
        </w:rPr>
      </w:pPr>
    </w:p>
    <w:p w14:paraId="108E4A35" w14:textId="77777777" w:rsidR="00CB1C22" w:rsidRPr="000E2C39" w:rsidRDefault="00CB1C22" w:rsidP="00CB1C22">
      <w:pPr>
        <w:spacing w:after="120" w:line="240" w:lineRule="auto"/>
        <w:jc w:val="center"/>
        <w:rPr>
          <w:rFonts w:eastAsia="Calibri" w:cs="Times New Roman"/>
          <w:b/>
        </w:rPr>
      </w:pPr>
      <w:r w:rsidRPr="000E2C39">
        <w:rPr>
          <w:rFonts w:eastAsia="Calibri" w:cs="Times New Roman"/>
          <w:b/>
        </w:rPr>
        <w:t>III Būvvaldes darba organizācija</w:t>
      </w:r>
    </w:p>
    <w:p w14:paraId="3DC180BC"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Būvvaldes darbu organizē un vada Būvvaldes vadītājs – arhitekts, kuru ieceļ amatā un atbrīvo no amata Pašvaldības dome.</w:t>
      </w:r>
    </w:p>
    <w:p w14:paraId="43748FF4" w14:textId="77777777" w:rsidR="00CB1C22" w:rsidRPr="00807D7B" w:rsidRDefault="00CB1C22" w:rsidP="00CB1C22">
      <w:pPr>
        <w:pStyle w:val="Sarakstarindkopa"/>
        <w:numPr>
          <w:ilvl w:val="0"/>
          <w:numId w:val="1"/>
        </w:numPr>
        <w:spacing w:after="120" w:line="240" w:lineRule="auto"/>
        <w:jc w:val="both"/>
        <w:rPr>
          <w:rFonts w:eastAsia="Calibri" w:cs="Times New Roman"/>
        </w:rPr>
      </w:pPr>
      <w:r w:rsidRPr="00807D7B">
        <w:rPr>
          <w:rFonts w:eastAsia="Calibri" w:cs="Times New Roman"/>
        </w:rPr>
        <w:t>Būvvaldes vadītājs – arhitekts:</w:t>
      </w:r>
    </w:p>
    <w:p w14:paraId="69C34D71" w14:textId="77777777" w:rsidR="00CB1C22" w:rsidRPr="00807D7B"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plāno un organizē Būvvaldes darbu un kontrolē noteikto uzdevumu izpildi;</w:t>
      </w:r>
    </w:p>
    <w:p w14:paraId="047EE509"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ir iestādes paraksta tiesīgā persona, paraksta Būvvaldes lēmumus, kā arī citus Būvvaldes izdotus dokumentus;</w:t>
      </w:r>
    </w:p>
    <w:p w14:paraId="13253CD9"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līdz brīdim, kamēr Pašvaldības dome nav noteikusi vienotu darba samaksas kārtību Pašvaldībā, saskaņojot ar Pašvaldības izpilddirektoru un atbilstoši darba algas fondam, nosaka darbinieku amatu sarakstu un darba samaksu;</w:t>
      </w:r>
    </w:p>
    <w:p w14:paraId="169C1B9D"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pieņem darbā un atbrīvo no darba Būvvaldes darbiniekus, nosaka viņu pienākumus, slēdz darba līgumus un kontrolē to izpildi;</w:t>
      </w:r>
    </w:p>
    <w:p w14:paraId="7DDC1426"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atbilstoši savai kompetencei izdod iekšējos normatīvos aktus un kontrolē to izpildi, dod norādījumus Būvvaldes darbiniekiem;</w:t>
      </w:r>
    </w:p>
    <w:p w14:paraId="7EFDE5E5"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atbilstoši savai kompetencei izsniedz pilnvaras, rīkojas ar Būvvaldes valdījumā nodoto Pašvaldības mantu un naudas līdzekļiem, slēdz privāttiesiskos līgumus Būvvaldes saimnieciskās darbības nodrošināšanai;</w:t>
      </w:r>
    </w:p>
    <w:p w14:paraId="6D697833"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nodrošina Būvvaldes materiālo vērtību saglabāšanu;</w:t>
      </w:r>
    </w:p>
    <w:p w14:paraId="02354008"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bez atsevišķa pilnvarojuma pārstāv Būvvaldi attiecībās ar trešajām personām;</w:t>
      </w:r>
    </w:p>
    <w:p w14:paraId="4FE61DFD"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amata kompetences ietvaros pārstāv Pašvaldību tiesā;</w:t>
      </w:r>
    </w:p>
    <w:p w14:paraId="4A195DC3" w14:textId="77777777" w:rsidR="00CB1C22" w:rsidRDefault="00CB1C22" w:rsidP="00CB1C22">
      <w:pPr>
        <w:pStyle w:val="Sarakstarindkopa"/>
        <w:numPr>
          <w:ilvl w:val="1"/>
          <w:numId w:val="1"/>
        </w:numPr>
        <w:spacing w:after="120" w:line="240" w:lineRule="auto"/>
        <w:ind w:left="1276" w:hanging="567"/>
        <w:jc w:val="both"/>
        <w:rPr>
          <w:rFonts w:eastAsia="Calibri" w:cs="Times New Roman"/>
        </w:rPr>
      </w:pPr>
      <w:r w:rsidRPr="00807D7B">
        <w:rPr>
          <w:rFonts w:eastAsia="Calibri" w:cs="Times New Roman"/>
        </w:rPr>
        <w:t>organizē dokumentu pārvaldību, personāla un statistikas uzskaiti atbilstoši spēkā esošajiem tiesību aktiem;</w:t>
      </w:r>
    </w:p>
    <w:p w14:paraId="4A2ECD11" w14:textId="77777777" w:rsidR="00CB1C22" w:rsidRPr="00807D7B" w:rsidRDefault="00CB1C22" w:rsidP="00CB1C22">
      <w:pPr>
        <w:pStyle w:val="Sarakstarindkopa"/>
        <w:numPr>
          <w:ilvl w:val="1"/>
          <w:numId w:val="1"/>
        </w:numPr>
        <w:spacing w:after="120" w:line="240" w:lineRule="auto"/>
        <w:ind w:left="1418" w:hanging="709"/>
        <w:jc w:val="both"/>
        <w:rPr>
          <w:rFonts w:eastAsia="Calibri" w:cs="Times New Roman"/>
        </w:rPr>
      </w:pPr>
      <w:r w:rsidRPr="00807D7B">
        <w:rPr>
          <w:rFonts w:eastAsia="Calibri" w:cs="Times New Roman"/>
        </w:rPr>
        <w:t>nodrošina darba aizsardzības pasākumus Būvvaldē.</w:t>
      </w:r>
    </w:p>
    <w:p w14:paraId="007DED1B"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Būvvaldes vadītāju tā prombūtnes laikā aizvieto būvinspektors.</w:t>
      </w:r>
    </w:p>
    <w:p w14:paraId="79FDD5CF"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Būvvaldes darbinieku tiesības un pienākumi ir noteikti amatu aprakstos un citos iekšējos normatīvajos rakstos.</w:t>
      </w:r>
    </w:p>
    <w:p w14:paraId="1A005E77" w14:textId="77777777" w:rsidR="00CB1C22" w:rsidRPr="00F933E4" w:rsidRDefault="00CB1C22" w:rsidP="00CB1C22">
      <w:pPr>
        <w:pStyle w:val="Sarakstarindkopa"/>
        <w:numPr>
          <w:ilvl w:val="0"/>
          <w:numId w:val="1"/>
        </w:numPr>
        <w:spacing w:after="120" w:line="240" w:lineRule="auto"/>
        <w:jc w:val="both"/>
        <w:rPr>
          <w:rFonts w:eastAsia="Calibri" w:cs="Times New Roman"/>
        </w:rPr>
      </w:pPr>
      <w:r>
        <w:t>Būvvaldes darbības finansiālais pamats ir Pašvaldības budžetā apstiprinātie līdzekļi.</w:t>
      </w:r>
    </w:p>
    <w:p w14:paraId="1B34A86A"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Iestādes finanšu līdzekļu grāmatvedības uzskaiti nodrošina Pašvaldības iestādes “Centrālā administrācija” Grāmatvedība, norēķiniem izmantojot Pašvaldības norēķinu kontus.</w:t>
      </w:r>
    </w:p>
    <w:p w14:paraId="4E2DB24A"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Būvvaldei ir atsevišķa lietu nomenklatūra, pastāvīgi un ilgstoši glabājamo lietu saraksts.</w:t>
      </w:r>
    </w:p>
    <w:p w14:paraId="4A1D9B2C" w14:textId="77777777" w:rsidR="00CB1C22" w:rsidRDefault="00CB1C22" w:rsidP="00CB1C22">
      <w:pPr>
        <w:pStyle w:val="Sarakstarindkopa"/>
        <w:numPr>
          <w:ilvl w:val="0"/>
          <w:numId w:val="1"/>
        </w:numPr>
        <w:spacing w:line="240" w:lineRule="auto"/>
        <w:jc w:val="both"/>
      </w:pPr>
      <w:r>
        <w:t>Būvvaldes padotību pārraudzības formā realizē Pašvaldības dome, veicot normatīvajos aktos noteiktās pārraudzības darbības – apstiprina Būvvaldes budžetu, lemj par papildu finansējuma piešķiršanu, uzdod Būvvaldei pieņemt lēmumu prettiesiskas bezdarbības gadījumā, atceļ Būvvaldes vadītāja prettiesiskus lēmumus, lemj par iestādes reorganizāciju vai likvidāciju u.c.</w:t>
      </w:r>
    </w:p>
    <w:p w14:paraId="6CD6BC1A" w14:textId="77777777" w:rsidR="00CB1C22" w:rsidRDefault="00CB1C22" w:rsidP="00CB1C22">
      <w:pPr>
        <w:pStyle w:val="Sarakstarindkopa"/>
        <w:numPr>
          <w:ilvl w:val="0"/>
          <w:numId w:val="1"/>
        </w:numPr>
        <w:spacing w:line="240" w:lineRule="auto"/>
        <w:jc w:val="both"/>
      </w:pPr>
      <w:r>
        <w:t>Iestādes padotību pakļautības formā realizē pašvaldības izpilddirektors, kurš dod rīkojumus Būvvaldes vadītājam:</w:t>
      </w:r>
    </w:p>
    <w:p w14:paraId="04FB187A" w14:textId="77777777" w:rsidR="00CB1C22" w:rsidRDefault="00CB1C22" w:rsidP="00CB1C22">
      <w:pPr>
        <w:pStyle w:val="Sarakstarindkopa"/>
        <w:numPr>
          <w:ilvl w:val="1"/>
          <w:numId w:val="1"/>
        </w:numPr>
        <w:tabs>
          <w:tab w:val="left" w:pos="993"/>
        </w:tabs>
        <w:spacing w:line="276" w:lineRule="auto"/>
        <w:ind w:left="1276" w:hanging="567"/>
        <w:jc w:val="both"/>
      </w:pPr>
      <w:r>
        <w:t>izvērtē Būvvaldes rīcību un lēmumu tiesiskumu;</w:t>
      </w:r>
    </w:p>
    <w:p w14:paraId="2FE6AA82" w14:textId="77777777" w:rsidR="00CB1C22" w:rsidRDefault="00CB1C22" w:rsidP="00CB1C22">
      <w:pPr>
        <w:pStyle w:val="Sarakstarindkopa"/>
        <w:numPr>
          <w:ilvl w:val="1"/>
          <w:numId w:val="1"/>
        </w:numPr>
        <w:tabs>
          <w:tab w:val="left" w:pos="993"/>
        </w:tabs>
        <w:spacing w:line="276" w:lineRule="auto"/>
        <w:ind w:left="1276" w:hanging="567"/>
        <w:jc w:val="both"/>
      </w:pPr>
      <w:r>
        <w:t>sagatavo priekšlikumus Pašvaldības domei par Būvvaldes nelikumīgu vai nelietderīgu lēmumu atcelšanu;</w:t>
      </w:r>
    </w:p>
    <w:p w14:paraId="3F27FAD1" w14:textId="77777777" w:rsidR="00CB1C22" w:rsidRDefault="00CB1C22" w:rsidP="00CB1C22">
      <w:pPr>
        <w:pStyle w:val="Sarakstarindkopa"/>
        <w:numPr>
          <w:ilvl w:val="1"/>
          <w:numId w:val="1"/>
        </w:numPr>
        <w:tabs>
          <w:tab w:val="left" w:pos="993"/>
        </w:tabs>
        <w:spacing w:after="0" w:line="240" w:lineRule="auto"/>
        <w:ind w:left="1276" w:hanging="567"/>
        <w:jc w:val="both"/>
      </w:pPr>
      <w:r>
        <w:t>ierosina Pašvaldības domei iecelt amatā vai atbrīvot no amata Būvvaldes vadītāju, realizē darba devēja funkcijas attiecībā uz Būvvaldes vadītāju;</w:t>
      </w:r>
    </w:p>
    <w:p w14:paraId="7BCE099A" w14:textId="77777777" w:rsidR="00CB1C22" w:rsidRDefault="00CB1C22" w:rsidP="00CB1C22">
      <w:pPr>
        <w:pStyle w:val="Sarakstarindkopa"/>
        <w:numPr>
          <w:ilvl w:val="1"/>
          <w:numId w:val="1"/>
        </w:numPr>
        <w:tabs>
          <w:tab w:val="left" w:pos="993"/>
        </w:tabs>
        <w:spacing w:after="0" w:line="240" w:lineRule="auto"/>
        <w:ind w:left="1276" w:hanging="567"/>
        <w:jc w:val="both"/>
      </w:pPr>
      <w:r>
        <w:t>piedalās Būvvaldes darba strīdu izskatīšanā.</w:t>
      </w:r>
    </w:p>
    <w:p w14:paraId="2A534571" w14:textId="77777777" w:rsidR="00CB1C22" w:rsidRDefault="00CB1C22" w:rsidP="00CB1C22">
      <w:pPr>
        <w:pStyle w:val="Sarakstarindkopa"/>
        <w:tabs>
          <w:tab w:val="left" w:pos="993"/>
        </w:tabs>
        <w:spacing w:after="0" w:line="240" w:lineRule="auto"/>
        <w:ind w:left="1276"/>
        <w:jc w:val="both"/>
      </w:pPr>
    </w:p>
    <w:p w14:paraId="579BDA7D" w14:textId="77777777" w:rsidR="00CB1C22" w:rsidRDefault="00CB1C22" w:rsidP="00CB1C22">
      <w:pPr>
        <w:spacing w:after="0" w:line="240" w:lineRule="auto"/>
        <w:jc w:val="center"/>
        <w:rPr>
          <w:rFonts w:eastAsia="Calibri" w:cs="Times New Roman"/>
          <w:b/>
        </w:rPr>
      </w:pPr>
      <w:r w:rsidRPr="000E2C39">
        <w:rPr>
          <w:rFonts w:eastAsia="Calibri" w:cs="Times New Roman"/>
          <w:b/>
        </w:rPr>
        <w:t>IV Būvvaldes tiesības un tiesiskuma nodrošināšana</w:t>
      </w:r>
    </w:p>
    <w:p w14:paraId="1119D078" w14:textId="77777777" w:rsidR="00CB1C22" w:rsidRPr="000E2C39" w:rsidRDefault="00CB1C22" w:rsidP="00CB1C22">
      <w:pPr>
        <w:spacing w:after="0" w:line="240" w:lineRule="auto"/>
        <w:jc w:val="center"/>
        <w:rPr>
          <w:rFonts w:eastAsia="Calibri" w:cs="Times New Roman"/>
          <w:b/>
        </w:rPr>
      </w:pPr>
    </w:p>
    <w:p w14:paraId="265F4404" w14:textId="77777777" w:rsidR="00CB1C22" w:rsidRPr="00F933E4" w:rsidRDefault="00CB1C22" w:rsidP="00CB1C22">
      <w:pPr>
        <w:pStyle w:val="Sarakstarindkopa"/>
        <w:numPr>
          <w:ilvl w:val="0"/>
          <w:numId w:val="1"/>
        </w:numPr>
        <w:spacing w:after="0" w:line="240" w:lineRule="auto"/>
        <w:jc w:val="both"/>
        <w:rPr>
          <w:rFonts w:eastAsia="Calibri" w:cs="Times New Roman"/>
        </w:rPr>
      </w:pPr>
      <w:r w:rsidRPr="00F933E4">
        <w:rPr>
          <w:rFonts w:eastAsia="Calibri" w:cs="Times New Roman"/>
        </w:rPr>
        <w:t>Būvvaldei savas kompetences ietvaros ir tiesības:</w:t>
      </w:r>
    </w:p>
    <w:p w14:paraId="2FC11EAD" w14:textId="77777777" w:rsidR="00CB1C22" w:rsidRPr="00F933E4"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pieprasīt un saņemt attiecīgo informāciju no administratīvajā teritorijā esošajām fiziskajām un juridiskajām personām;</w:t>
      </w:r>
    </w:p>
    <w:p w14:paraId="1EC2A8CB"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lastRenderedPageBreak/>
        <w:t>atkarībā no būvniecības ieceres nozīmīguma, noteikt būvprojektēšanai nepieciešamo dokumentu sarakstu, kā arī, pamatojoties uz normatīvajos aktos noteiktajiem kritērijiem, ierosināt Pašvaldībai pieņemt lēmumu nodrošināt būvniecības ieceres publisko apspriešanu; pirms būvatļaujas izsniegšanas pieprasīt papildus dokumentus vai darbu veikšanas projekta saskaņošanu specializētās būvniecības gadījumā;</w:t>
      </w:r>
    </w:p>
    <w:p w14:paraId="2CD23456"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motivēti noraidīt būvniecības ieceres un būvprojektus, kā arī pieprasīt to ekspertīzi atbilstoši normatīvo aktu prasībām;</w:t>
      </w:r>
    </w:p>
    <w:p w14:paraId="172E90C0"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anulēt būvatļaujas, pārtraukt būvdarbus vai teritorijas izpētes darbus, lemt par būves konservāciju vai nojaukšanu saskaņā ar Būvniecības likuma un Vispārīgo būvnoteikumu prasībām;</w:t>
      </w:r>
    </w:p>
    <w:p w14:paraId="7073D07E"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normatīvajos aktos noteiktajā kārtībā kontrolēt administratīvajā teritorijā jebkuru būvi vai zemes lietojumu neatkarīgi no piederības un īpašuma formas;</w:t>
      </w:r>
    </w:p>
    <w:p w14:paraId="26125B33"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uzsākt administratīvā pārkāpuma procesu par fizisko un juridisko personu tiesību aktu pārkāpumiem un nodot Pašvaldības Administratīvajai komisijai attiecīgās personas saukt pie administratīvās atbildības;</w:t>
      </w:r>
    </w:p>
    <w:p w14:paraId="29417CE2"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piedalīties kvalifikācijas paaugstināšanas kursos un semināros;</w:t>
      </w:r>
    </w:p>
    <w:p w14:paraId="5060BD45"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saņemt konsultācijas no Pašvaldības administrācijas un Pašvaldības iestāžu speciālistiem;</w:t>
      </w:r>
    </w:p>
    <w:p w14:paraId="2A49F1BC"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piedalīties sarunās, kurās tiek apspriesti ar Būvvaldes darba organizāciju un uzdevumiem saistītie jautājumi;</w:t>
      </w:r>
    </w:p>
    <w:p w14:paraId="71CB81D3" w14:textId="77777777" w:rsidR="00CB1C22"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Būvvaldes amatpersonām ir normatīvajos aktos noteiktās tiesības izdot administratīvos aktus, pieņemt lēmumus, veikt kontroles, uzraudzības un sodīšanas funkcijas;</w:t>
      </w:r>
    </w:p>
    <w:p w14:paraId="27407543" w14:textId="77777777" w:rsidR="00CB1C22" w:rsidRPr="00F933E4" w:rsidRDefault="00CB1C22" w:rsidP="00CB1C22">
      <w:pPr>
        <w:pStyle w:val="Sarakstarindkopa"/>
        <w:numPr>
          <w:ilvl w:val="1"/>
          <w:numId w:val="1"/>
        </w:numPr>
        <w:spacing w:after="0" w:line="240" w:lineRule="auto"/>
        <w:ind w:left="1418" w:hanging="709"/>
        <w:jc w:val="both"/>
        <w:rPr>
          <w:rFonts w:eastAsia="Calibri" w:cs="Times New Roman"/>
        </w:rPr>
      </w:pPr>
      <w:r w:rsidRPr="00F933E4">
        <w:rPr>
          <w:rFonts w:eastAsia="Calibri" w:cs="Times New Roman"/>
        </w:rPr>
        <w:t>būvinspektoram apmeklēt fiziskajām un juridiskajām personām piederošās vai to lietošanā esošās būves un atsevišķas telpas, lai kontrolētu ekspluatācijas atbilstību normatīvajiem aktiem, tai skaitā patvaļīgas būvniecības esamību un būves drošumu.</w:t>
      </w:r>
    </w:p>
    <w:p w14:paraId="6EDF5DAF" w14:textId="77777777" w:rsidR="00CB1C22" w:rsidRPr="00F933E4" w:rsidRDefault="00CB1C22" w:rsidP="00CB1C22">
      <w:pPr>
        <w:pStyle w:val="Sarakstarindkopa"/>
        <w:numPr>
          <w:ilvl w:val="0"/>
          <w:numId w:val="1"/>
        </w:numPr>
        <w:spacing w:after="120" w:line="240" w:lineRule="auto"/>
        <w:jc w:val="both"/>
        <w:rPr>
          <w:rFonts w:eastAsia="Calibri" w:cs="Times New Roman"/>
          <w:strike/>
        </w:rPr>
      </w:pPr>
      <w:r>
        <w:rPr>
          <w:rFonts w:eastAsia="Calibri" w:cs="Times New Roman"/>
        </w:rPr>
        <w:t xml:space="preserve"> </w:t>
      </w:r>
      <w:r w:rsidRPr="00F933E4">
        <w:rPr>
          <w:rFonts w:eastAsia="Calibri" w:cs="Times New Roman"/>
        </w:rPr>
        <w:t xml:space="preserve">Būvvaldes darbības tiesiskumu nodrošina Būvvaldes vadītājs - arhitekts. </w:t>
      </w:r>
    </w:p>
    <w:p w14:paraId="0A19F452"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Būvvaldes amatpersonas ir atbildīgas par administratīvā procesa un profesionālo darbību reglamentējošo normatīvo aktu prasību pārzināšanu un konsekventu to ievērošanu, konfidencialitātes ievērošanu un personu datu apstrādi atbilstoši normatīvajam regulējumam.</w:t>
      </w:r>
    </w:p>
    <w:p w14:paraId="20BE9714"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Būvvaldes darbinieki ir atbildīgi par amata pienākumu un darba uzdevumu savlaicīgu, precīzu un godprātīgu izpildi, kā arī par uzticēto darba priekšmetu un līdzekļu saglabāšanu un ekspluatēšanu atbilstoši to lietošanas noteikumiem.</w:t>
      </w:r>
    </w:p>
    <w:p w14:paraId="4AB690F7"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 xml:space="preserve">Būvvaldes izdoto administratīvo aktu vai faktisko rīcību var apstrīdēt Alūksnes novada </w:t>
      </w:r>
      <w:r>
        <w:rPr>
          <w:rFonts w:eastAsia="Calibri" w:cs="Times New Roman"/>
        </w:rPr>
        <w:t xml:space="preserve">pašvaldības </w:t>
      </w:r>
      <w:r w:rsidRPr="00F933E4">
        <w:rPr>
          <w:rFonts w:eastAsia="Calibri" w:cs="Times New Roman"/>
        </w:rPr>
        <w:t xml:space="preserve">domē, ja likums neparedz citu apstrīdēšanas vai pārsūdzēšanas kārtību, iesniedzot sūdzību Būvvaldē. Alūksnes novada </w:t>
      </w:r>
      <w:r>
        <w:rPr>
          <w:rFonts w:eastAsia="Calibri" w:cs="Times New Roman"/>
        </w:rPr>
        <w:t xml:space="preserve">pašvaldības </w:t>
      </w:r>
      <w:r w:rsidRPr="00F933E4">
        <w:rPr>
          <w:rFonts w:eastAsia="Calibri" w:cs="Times New Roman"/>
        </w:rPr>
        <w:t>domes lēmumu par apstrīdēto administratīvo aktu vai faktisko rīcību var pārsūdzēt Administratīvajā rajona tiesā.</w:t>
      </w:r>
    </w:p>
    <w:p w14:paraId="58E41E22" w14:textId="77777777" w:rsidR="00CB1C22" w:rsidRPr="00F933E4" w:rsidRDefault="00CB1C22" w:rsidP="00CB1C22">
      <w:pPr>
        <w:pStyle w:val="Sarakstarindkopa"/>
        <w:numPr>
          <w:ilvl w:val="0"/>
          <w:numId w:val="1"/>
        </w:numPr>
        <w:spacing w:after="120" w:line="240" w:lineRule="auto"/>
        <w:jc w:val="both"/>
        <w:rPr>
          <w:rFonts w:eastAsia="Calibri" w:cs="Times New Roman"/>
        </w:rPr>
      </w:pPr>
      <w:r w:rsidRPr="00F933E4">
        <w:rPr>
          <w:rFonts w:eastAsia="Calibri" w:cs="Times New Roman"/>
        </w:rPr>
        <w:t xml:space="preserve">Būvinspektora lēmumus, kas pieņemti Būvvaldes vārdā, un izdotos atzinumus, ja tie rada tiesiskas sekas, var apstrīdēt Būvvaldes vadītājam. </w:t>
      </w:r>
    </w:p>
    <w:p w14:paraId="4264E65A" w14:textId="77777777" w:rsidR="00CB1C22" w:rsidRPr="000E2C39" w:rsidRDefault="00CB1C22" w:rsidP="00CB1C22">
      <w:pPr>
        <w:spacing w:after="120" w:line="240" w:lineRule="auto"/>
        <w:jc w:val="center"/>
        <w:rPr>
          <w:rFonts w:eastAsia="Calibri" w:cs="Times New Roman"/>
          <w:b/>
        </w:rPr>
      </w:pPr>
      <w:r w:rsidRPr="000E2C39">
        <w:rPr>
          <w:rFonts w:eastAsia="Calibri" w:cs="Times New Roman"/>
          <w:b/>
        </w:rPr>
        <w:t>V Noslēguma jautājums</w:t>
      </w:r>
    </w:p>
    <w:p w14:paraId="33E5E908" w14:textId="77777777" w:rsidR="00CB1C22" w:rsidRPr="000E2C39" w:rsidRDefault="00CB1C22" w:rsidP="00CB1C22">
      <w:pPr>
        <w:spacing w:after="120" w:line="240" w:lineRule="auto"/>
        <w:ind w:firstLine="720"/>
        <w:jc w:val="both"/>
        <w:rPr>
          <w:rFonts w:eastAsia="Calibri" w:cs="Times New Roman"/>
        </w:rPr>
      </w:pPr>
      <w:r>
        <w:rPr>
          <w:rFonts w:eastAsia="Calibri" w:cs="Times New Roman"/>
        </w:rPr>
        <w:t>Ar spēkā stāšanās brīdi a</w:t>
      </w:r>
      <w:r w:rsidRPr="000E2C39">
        <w:rPr>
          <w:rFonts w:eastAsia="Calibri" w:cs="Times New Roman"/>
        </w:rPr>
        <w:t>tzīt par spēku zaudējušu</w:t>
      </w:r>
      <w:r>
        <w:rPr>
          <w:rFonts w:eastAsia="Calibri" w:cs="Times New Roman"/>
        </w:rPr>
        <w:t>,</w:t>
      </w:r>
      <w:r w:rsidRPr="000E2C39">
        <w:rPr>
          <w:rFonts w:eastAsia="Calibri" w:cs="Times New Roman"/>
        </w:rPr>
        <w:t xml:space="preserve"> Alūksnes novada pašvaldības 24.10.2013. nolikumu Nr.11/2013 “Alūksnes novada pašvaldības iestādes “Būvvalde” nolikums”.</w:t>
      </w:r>
    </w:p>
    <w:p w14:paraId="1629A5AF" w14:textId="77777777" w:rsidR="00CB1C22" w:rsidRPr="000E2C39" w:rsidRDefault="00CB1C22" w:rsidP="00CB1C22">
      <w:pPr>
        <w:spacing w:after="120" w:line="240" w:lineRule="auto"/>
        <w:ind w:left="426"/>
        <w:jc w:val="both"/>
        <w:rPr>
          <w:rFonts w:eastAsia="Calibri" w:cs="Times New Roman"/>
        </w:rPr>
      </w:pPr>
    </w:p>
    <w:p w14:paraId="574F0267" w14:textId="1C0784A2" w:rsidR="00920428" w:rsidRDefault="00CB1C22" w:rsidP="00CB1C22">
      <w:r w:rsidRPr="000E2C39">
        <w:rPr>
          <w:rFonts w:eastAsia="Calibri" w:cs="Times New Roman"/>
        </w:rPr>
        <w:t>Domes priekšsēdētājs</w:t>
      </w:r>
      <w:r w:rsidRPr="000E2C39">
        <w:rPr>
          <w:rFonts w:eastAsia="Calibri" w:cs="Times New Roman"/>
        </w:rPr>
        <w:tab/>
      </w:r>
      <w:r w:rsidRPr="000E2C39">
        <w:rPr>
          <w:rFonts w:eastAsia="Calibri" w:cs="Times New Roman"/>
        </w:rPr>
        <w:tab/>
      </w:r>
      <w:r w:rsidRPr="000E2C39">
        <w:rPr>
          <w:rFonts w:eastAsia="Calibri" w:cs="Times New Roman"/>
        </w:rPr>
        <w:tab/>
      </w:r>
      <w:r w:rsidRPr="000E2C39">
        <w:rPr>
          <w:rFonts w:eastAsia="Calibri" w:cs="Times New Roman"/>
        </w:rPr>
        <w:tab/>
      </w:r>
      <w:r w:rsidRPr="000E2C39">
        <w:rPr>
          <w:rFonts w:eastAsia="Calibri" w:cs="Times New Roman"/>
        </w:rPr>
        <w:tab/>
      </w:r>
      <w:r w:rsidRPr="000E2C39">
        <w:rPr>
          <w:rFonts w:eastAsia="Calibri" w:cs="Times New Roman"/>
        </w:rPr>
        <w:tab/>
      </w:r>
      <w:r w:rsidRPr="000E2C39">
        <w:rPr>
          <w:rFonts w:eastAsia="Calibri" w:cs="Times New Roman"/>
        </w:rPr>
        <w:tab/>
      </w:r>
      <w:r>
        <w:rPr>
          <w:rFonts w:eastAsia="Calibri" w:cs="Times New Roman"/>
        </w:rPr>
        <w:tab/>
        <w:t>Dz. ADLERS</w:t>
      </w:r>
    </w:p>
    <w:sectPr w:rsidR="00920428" w:rsidSect="00CB1C22">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F6E7C" w14:textId="77777777" w:rsidR="00095795" w:rsidRDefault="00095795" w:rsidP="00CB1C22">
      <w:pPr>
        <w:spacing w:after="0" w:line="240" w:lineRule="auto"/>
      </w:pPr>
      <w:r>
        <w:separator/>
      </w:r>
    </w:p>
  </w:endnote>
  <w:endnote w:type="continuationSeparator" w:id="0">
    <w:p w14:paraId="65FA8C98" w14:textId="77777777" w:rsidR="00095795" w:rsidRDefault="00095795" w:rsidP="00CB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EC1CC" w14:textId="77777777" w:rsidR="00095795" w:rsidRDefault="00095795" w:rsidP="00CB1C22">
      <w:pPr>
        <w:spacing w:after="0" w:line="240" w:lineRule="auto"/>
      </w:pPr>
      <w:r>
        <w:separator/>
      </w:r>
    </w:p>
  </w:footnote>
  <w:footnote w:type="continuationSeparator" w:id="0">
    <w:p w14:paraId="517B998C" w14:textId="77777777" w:rsidR="00095795" w:rsidRDefault="00095795" w:rsidP="00CB1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553688"/>
      <w:docPartObj>
        <w:docPartGallery w:val="Page Numbers (Top of Page)"/>
        <w:docPartUnique/>
      </w:docPartObj>
    </w:sdtPr>
    <w:sdtContent>
      <w:p w14:paraId="7B1700A7" w14:textId="626B6401" w:rsidR="00CB1C22" w:rsidRDefault="00CB1C22">
        <w:pPr>
          <w:pStyle w:val="Galvene"/>
          <w:jc w:val="center"/>
        </w:pPr>
        <w:r>
          <w:fldChar w:fldCharType="begin"/>
        </w:r>
        <w:r>
          <w:instrText>PAGE   \* MERGEFORMAT</w:instrText>
        </w:r>
        <w:r>
          <w:fldChar w:fldCharType="separate"/>
        </w:r>
        <w:r>
          <w:t>2</w:t>
        </w:r>
        <w:r>
          <w:fldChar w:fldCharType="end"/>
        </w:r>
      </w:p>
    </w:sdtContent>
  </w:sdt>
  <w:p w14:paraId="72D85659" w14:textId="77777777" w:rsidR="00CB1C22" w:rsidRDefault="00CB1C2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60C21"/>
    <w:multiLevelType w:val="multilevel"/>
    <w:tmpl w:val="50729D30"/>
    <w:lvl w:ilvl="0">
      <w:start w:val="1"/>
      <w:numFmt w:val="decimal"/>
      <w:lvlText w:val="%1."/>
      <w:lvlJc w:val="left"/>
      <w:pPr>
        <w:ind w:left="72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054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C22"/>
    <w:rsid w:val="00006D00"/>
    <w:rsid w:val="00095795"/>
    <w:rsid w:val="00187953"/>
    <w:rsid w:val="002A7F46"/>
    <w:rsid w:val="00353E81"/>
    <w:rsid w:val="003551E5"/>
    <w:rsid w:val="003F540F"/>
    <w:rsid w:val="004F7DD7"/>
    <w:rsid w:val="0060048E"/>
    <w:rsid w:val="00606D54"/>
    <w:rsid w:val="006D456C"/>
    <w:rsid w:val="00794C03"/>
    <w:rsid w:val="00920428"/>
    <w:rsid w:val="00967C61"/>
    <w:rsid w:val="00A1118C"/>
    <w:rsid w:val="00B40F58"/>
    <w:rsid w:val="00C93A3D"/>
    <w:rsid w:val="00CB1C22"/>
    <w:rsid w:val="00E2297A"/>
    <w:rsid w:val="00F31159"/>
    <w:rsid w:val="00F334A5"/>
    <w:rsid w:val="00F72A60"/>
    <w:rsid w:val="00F908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B2C9"/>
  <w15:chartTrackingRefBased/>
  <w15:docId w15:val="{B33C5790-623F-4B84-8B25-ABBC8571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B1C2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B1C22"/>
    <w:pPr>
      <w:ind w:left="720"/>
      <w:contextualSpacing/>
    </w:pPr>
  </w:style>
  <w:style w:type="paragraph" w:styleId="Galvene">
    <w:name w:val="header"/>
    <w:basedOn w:val="Parasts"/>
    <w:link w:val="GalveneRakstz"/>
    <w:uiPriority w:val="99"/>
    <w:unhideWhenUsed/>
    <w:rsid w:val="00CB1C2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B1C22"/>
  </w:style>
  <w:style w:type="paragraph" w:styleId="Kjene">
    <w:name w:val="footer"/>
    <w:basedOn w:val="Parasts"/>
    <w:link w:val="KjeneRakstz"/>
    <w:uiPriority w:val="99"/>
    <w:unhideWhenUsed/>
    <w:rsid w:val="00CB1C2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B1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F988-0C2E-4E0C-8156-569A49BD3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7330</Words>
  <Characters>4179</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Kristīne TOMIŅA</cp:lastModifiedBy>
  <cp:revision>6</cp:revision>
  <dcterms:created xsi:type="dcterms:W3CDTF">2024-04-03T13:22:00Z</dcterms:created>
  <dcterms:modified xsi:type="dcterms:W3CDTF">2026-01-06T09:53:00Z</dcterms:modified>
</cp:coreProperties>
</file>