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5903" w14:textId="02E39D06" w:rsidR="00643B88" w:rsidRDefault="00643B88" w:rsidP="009D7E11">
      <w:pPr>
        <w:spacing w:after="0" w:line="240" w:lineRule="auto"/>
        <w:rPr>
          <w:rFonts w:eastAsia="Times New Roman" w:cs="Times New Roman"/>
          <w:i/>
          <w:color w:val="000000"/>
          <w:kern w:val="0"/>
          <w:szCs w:val="20"/>
          <w:lang w:eastAsia="lv-LV"/>
          <w14:ligatures w14:val="none"/>
        </w:rPr>
      </w:pPr>
    </w:p>
    <w:p w14:paraId="495079EB" w14:textId="02CB0AFE" w:rsidR="00D90AE9" w:rsidRPr="00230390" w:rsidRDefault="00D90AE9" w:rsidP="00D90AE9">
      <w:pPr>
        <w:spacing w:after="0" w:line="240" w:lineRule="auto"/>
        <w:jc w:val="right"/>
        <w:rPr>
          <w:rFonts w:eastAsia="Times New Roman" w:cs="Times New Roman"/>
          <w:i/>
          <w:color w:val="000000"/>
          <w:kern w:val="0"/>
          <w:szCs w:val="20"/>
          <w:lang w:eastAsia="lv-LV"/>
          <w14:ligatures w14:val="none"/>
        </w:rPr>
      </w:pPr>
      <w:r w:rsidRPr="00230390">
        <w:rPr>
          <w:rFonts w:eastAsia="Times New Roman" w:cs="Times New Roman"/>
          <w:i/>
          <w:color w:val="000000"/>
          <w:kern w:val="0"/>
          <w:szCs w:val="20"/>
          <w:lang w:eastAsia="lv-LV"/>
          <w14:ligatures w14:val="none"/>
        </w:rPr>
        <w:t>Saistošo noteikumu projekts</w:t>
      </w:r>
    </w:p>
    <w:p w14:paraId="2F61F787" w14:textId="77777777" w:rsidR="00D90AE9" w:rsidRPr="00230390" w:rsidRDefault="00D90AE9" w:rsidP="00D90AE9">
      <w:pPr>
        <w:spacing w:after="0" w:line="240" w:lineRule="auto"/>
        <w:jc w:val="right"/>
        <w:rPr>
          <w:rFonts w:eastAsia="Times New Roman" w:cs="Times New Roman"/>
          <w:color w:val="000000"/>
          <w:kern w:val="0"/>
          <w:szCs w:val="20"/>
          <w:lang w:eastAsia="lv-LV"/>
          <w14:ligatures w14:val="none"/>
        </w:rPr>
      </w:pPr>
    </w:p>
    <w:p w14:paraId="5C61B0A3" w14:textId="56552041" w:rsidR="00D90AE9" w:rsidRPr="00230390" w:rsidRDefault="00D90AE9" w:rsidP="00D90AE9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</w:pPr>
      <w:r w:rsidRPr="00230390"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  <w:t xml:space="preserve">Grozījumi Alūksnes novada pašvaldības domes 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2024.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gada 28.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novembra saistošajos noteikumos Nr.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36/2024 “Par Alūksnes novada pašvaldības nodevām</w:t>
      </w:r>
      <w:r w:rsidRPr="00B91E11">
        <w:rPr>
          <w:rFonts w:eastAsia="Times New Roman" w:cs="Times New Roman"/>
          <w:b/>
          <w:kern w:val="0"/>
          <w14:ligatures w14:val="none"/>
        </w:rPr>
        <w:t>”</w:t>
      </w:r>
    </w:p>
    <w:p w14:paraId="2AC238B4" w14:textId="77777777" w:rsidR="00D90AE9" w:rsidRPr="00230390" w:rsidRDefault="00D90AE9" w:rsidP="00D90AE9">
      <w:pPr>
        <w:spacing w:after="0" w:line="240" w:lineRule="auto"/>
        <w:rPr>
          <w:rFonts w:eastAsia="Times New Roman" w:cs="Times New Roman"/>
          <w:b/>
          <w:kern w:val="0"/>
          <w:lang w:eastAsia="lv-LV"/>
          <w14:ligatures w14:val="none"/>
        </w:rPr>
      </w:pPr>
    </w:p>
    <w:p w14:paraId="1E763677" w14:textId="03957F8B" w:rsidR="00D90AE9" w:rsidRPr="00230390" w:rsidRDefault="00D90AE9" w:rsidP="00E86132">
      <w:pPr>
        <w:tabs>
          <w:tab w:val="left" w:pos="900"/>
          <w:tab w:val="num" w:pos="1080"/>
        </w:tabs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230390">
        <w:rPr>
          <w:rFonts w:eastAsia="Times New Roman" w:cs="Times New Roman"/>
          <w:i/>
          <w:iCs/>
          <w:kern w:val="0"/>
          <w:szCs w:val="28"/>
          <w:lang w:eastAsia="lv-LV"/>
          <w14:ligatures w14:val="none"/>
        </w:rPr>
        <w:t xml:space="preserve">Izdoti saskaņā </w:t>
      </w:r>
      <w:r w:rsidRPr="00AF43B6">
        <w:rPr>
          <w:rFonts w:eastAsia="Times New Roman" w:cs="Times New Roman"/>
          <w:i/>
          <w:iCs/>
          <w:kern w:val="0"/>
          <w:szCs w:val="28"/>
          <w:lang w:eastAsia="lv-LV"/>
          <w14:ligatures w14:val="none"/>
        </w:rPr>
        <w:t xml:space="preserve">ar </w:t>
      </w:r>
      <w:r w:rsidR="00CB1D75">
        <w:rPr>
          <w:rFonts w:ascii="Arial" w:hAnsi="Arial" w:cs="Arial"/>
          <w:i/>
          <w:iCs/>
          <w:color w:val="414142"/>
          <w:sz w:val="20"/>
          <w:szCs w:val="20"/>
          <w:shd w:val="clear" w:color="auto" w:fill="FFFFFF"/>
        </w:rPr>
        <w:t xml:space="preserve"> </w:t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likuma "Par nodokļiem un nodevām"</w:t>
      </w:r>
      <w:r w:rsidR="00CB1D75" w:rsidRPr="00A50E0F">
        <w:rPr>
          <w:rFonts w:cs="Times New Roman"/>
          <w:i/>
          <w:iCs/>
          <w:color w:val="414142"/>
        </w:rPr>
        <w:br/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12. panta pirmās daļas 1., 2., 4., 5., 7., 10. punktu,</w:t>
      </w:r>
      <w:r w:rsidR="00CB1D75" w:rsidRPr="00A50E0F">
        <w:rPr>
          <w:rFonts w:cs="Times New Roman"/>
          <w:i/>
          <w:iCs/>
          <w:color w:val="414142"/>
        </w:rPr>
        <w:br/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Ministru kabineta 2005. gada 28. jūnija noteikumu Nr. 480</w:t>
      </w:r>
      <w:r w:rsidR="00CB1D75" w:rsidRPr="00A50E0F">
        <w:rPr>
          <w:rFonts w:cs="Times New Roman"/>
          <w:i/>
          <w:iCs/>
          <w:color w:val="414142"/>
        </w:rPr>
        <w:br/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"Noteikumi par kārtību, kādā pašvaldības</w:t>
      </w:r>
      <w:r w:rsidR="00CB1D75" w:rsidRPr="00A50E0F">
        <w:rPr>
          <w:rFonts w:cs="Times New Roman"/>
          <w:i/>
          <w:iCs/>
          <w:color w:val="414142"/>
        </w:rPr>
        <w:br/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var uzlikt pašvaldības nodevas" 16.</w:t>
      </w:r>
      <w:r w:rsidR="00CB1D75" w:rsidRPr="00A50E0F">
        <w:rPr>
          <w:rFonts w:cs="Times New Roman"/>
          <w:i/>
          <w:iCs/>
          <w:color w:val="414142"/>
          <w:shd w:val="clear" w:color="auto" w:fill="FFFFFF"/>
          <w:vertAlign w:val="superscript"/>
        </w:rPr>
        <w:t>1</w:t>
      </w:r>
      <w:r w:rsidR="00CB1D75" w:rsidRPr="00A50E0F">
        <w:rPr>
          <w:rFonts w:cs="Times New Roman"/>
          <w:i/>
          <w:iCs/>
          <w:color w:val="414142"/>
          <w:shd w:val="clear" w:color="auto" w:fill="FFFFFF"/>
        </w:rPr>
        <w:t> punktu</w:t>
      </w:r>
    </w:p>
    <w:p w14:paraId="38142369" w14:textId="77777777" w:rsidR="00D90AE9" w:rsidRPr="00230390" w:rsidRDefault="00D90AE9" w:rsidP="00D90AE9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779F451D" w14:textId="30A8EE81" w:rsidR="00D90AE9" w:rsidRPr="00230390" w:rsidRDefault="00D90AE9" w:rsidP="00A50E0F">
      <w:pPr>
        <w:spacing w:after="0" w:line="240" w:lineRule="auto"/>
        <w:ind w:left="360" w:firstLine="360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230390">
        <w:rPr>
          <w:rFonts w:eastAsia="Times New Roman" w:cs="Times New Roman"/>
          <w:kern w:val="0"/>
          <w:lang w:eastAsia="lv-LV"/>
          <w14:ligatures w14:val="none"/>
        </w:rPr>
        <w:t xml:space="preserve">Izdarīt </w:t>
      </w:r>
      <w:r w:rsidRPr="00230390">
        <w:rPr>
          <w:rFonts w:eastAsia="Times New Roman" w:cs="Times New Roman"/>
          <w:color w:val="000000"/>
          <w:kern w:val="0"/>
          <w:szCs w:val="20"/>
          <w:lang w:eastAsia="lv-LV"/>
          <w14:ligatures w14:val="none"/>
        </w:rPr>
        <w:t xml:space="preserve">Alūksnes novada pašvaldības domes </w:t>
      </w:r>
      <w:r w:rsidR="00243CCE" w:rsidRPr="00243CCE">
        <w:rPr>
          <w:rFonts w:eastAsia="Times New Roman" w:cs="Times New Roman"/>
          <w:kern w:val="0"/>
          <w14:ligatures w14:val="none"/>
        </w:rPr>
        <w:t>2024.</w:t>
      </w:r>
      <w:r w:rsidR="00643B88">
        <w:rPr>
          <w:rFonts w:eastAsia="Times New Roman" w:cs="Times New Roman"/>
          <w:kern w:val="0"/>
          <w14:ligatures w14:val="none"/>
        </w:rPr>
        <w:t xml:space="preserve"> </w:t>
      </w:r>
      <w:r w:rsidR="00243CCE" w:rsidRPr="00243CCE">
        <w:rPr>
          <w:rFonts w:eastAsia="Times New Roman" w:cs="Times New Roman"/>
          <w:kern w:val="0"/>
          <w14:ligatures w14:val="none"/>
        </w:rPr>
        <w:t>gada 28.</w:t>
      </w:r>
      <w:r w:rsidR="00643B88">
        <w:rPr>
          <w:rFonts w:eastAsia="Times New Roman" w:cs="Times New Roman"/>
          <w:kern w:val="0"/>
          <w14:ligatures w14:val="none"/>
        </w:rPr>
        <w:t> </w:t>
      </w:r>
      <w:r w:rsidR="00243CCE" w:rsidRPr="00243CCE">
        <w:rPr>
          <w:rFonts w:eastAsia="Times New Roman" w:cs="Times New Roman"/>
          <w:kern w:val="0"/>
          <w14:ligatures w14:val="none"/>
        </w:rPr>
        <w:t>novembra saistošajos noteikumos Nr.</w:t>
      </w:r>
      <w:r w:rsidR="00643B88">
        <w:rPr>
          <w:rFonts w:eastAsia="Times New Roman" w:cs="Times New Roman"/>
          <w:kern w:val="0"/>
          <w14:ligatures w14:val="none"/>
        </w:rPr>
        <w:t> </w:t>
      </w:r>
      <w:r w:rsidR="00243CCE" w:rsidRPr="00243CCE">
        <w:rPr>
          <w:rFonts w:eastAsia="Times New Roman" w:cs="Times New Roman"/>
          <w:kern w:val="0"/>
          <w14:ligatures w14:val="none"/>
        </w:rPr>
        <w:t>36/2024 “Par Alūksnes novada pašvaldības nodevām”</w:t>
      </w:r>
      <w:r w:rsidRPr="00230390">
        <w:rPr>
          <w:rFonts w:eastAsia="Times New Roman" w:cs="Times New Roman"/>
          <w:kern w:val="0"/>
          <w:lang w:eastAsia="lv-LV"/>
          <w14:ligatures w14:val="none"/>
        </w:rPr>
        <w:t xml:space="preserve"> šādus grozījumus: </w:t>
      </w:r>
    </w:p>
    <w:p w14:paraId="342B5ECD" w14:textId="77777777" w:rsidR="00D90AE9" w:rsidRPr="00230390" w:rsidRDefault="00D90AE9" w:rsidP="00D90AE9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</w:pPr>
    </w:p>
    <w:p w14:paraId="39556364" w14:textId="39BACDF0" w:rsidR="009B2C1F" w:rsidRDefault="00412EAC" w:rsidP="00D90AE9">
      <w:pPr>
        <w:numPr>
          <w:ilvl w:val="0"/>
          <w:numId w:val="1"/>
        </w:num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P</w:t>
      </w:r>
      <w:r w:rsidR="009B2C1F">
        <w:rPr>
          <w:rFonts w:eastAsia="Calibri" w:cs="Times New Roman"/>
          <w:kern w:val="0"/>
          <w:lang w:eastAsia="lv-LV"/>
          <w14:ligatures w14:val="none"/>
        </w:rPr>
        <w:t xml:space="preserve">apildināt </w:t>
      </w:r>
      <w:r>
        <w:rPr>
          <w:rFonts w:eastAsia="Calibri" w:cs="Times New Roman"/>
          <w:kern w:val="0"/>
          <w:lang w:eastAsia="lv-LV"/>
          <w14:ligatures w14:val="none"/>
        </w:rPr>
        <w:t xml:space="preserve">9.punktu </w:t>
      </w:r>
      <w:r w:rsidR="009B2C1F">
        <w:rPr>
          <w:rFonts w:eastAsia="Calibri" w:cs="Times New Roman"/>
          <w:kern w:val="0"/>
          <w:lang w:eastAsia="lv-LV"/>
          <w14:ligatures w14:val="none"/>
        </w:rPr>
        <w:t>ar 9.3.</w:t>
      </w:r>
      <w:r w:rsidR="00643B88">
        <w:rPr>
          <w:rFonts w:eastAsia="Calibri" w:cs="Times New Roman"/>
          <w:kern w:val="0"/>
          <w:lang w:eastAsia="lv-LV"/>
          <w14:ligatures w14:val="none"/>
        </w:rPr>
        <w:t> </w:t>
      </w:r>
      <w:r>
        <w:rPr>
          <w:rFonts w:eastAsia="Calibri" w:cs="Times New Roman"/>
          <w:kern w:val="0"/>
          <w:lang w:eastAsia="lv-LV"/>
          <w14:ligatures w14:val="none"/>
        </w:rPr>
        <w:t>apakš</w:t>
      </w:r>
      <w:r w:rsidR="009B2C1F">
        <w:rPr>
          <w:rFonts w:eastAsia="Calibri" w:cs="Times New Roman"/>
          <w:kern w:val="0"/>
          <w:lang w:eastAsia="lv-LV"/>
          <w14:ligatures w14:val="none"/>
        </w:rPr>
        <w:t>punktu šādā redakcijā: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1423"/>
        <w:gridCol w:w="4221"/>
        <w:gridCol w:w="1572"/>
      </w:tblGrid>
      <w:tr w:rsidR="009B2C1F" w14:paraId="58ED86EA" w14:textId="77777777" w:rsidTr="00A50E0F">
        <w:tc>
          <w:tcPr>
            <w:tcW w:w="1423" w:type="dxa"/>
          </w:tcPr>
          <w:p w14:paraId="77DE7241" w14:textId="69FE3C3C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</w:t>
            </w:r>
          </w:p>
        </w:tc>
        <w:tc>
          <w:tcPr>
            <w:tcW w:w="4221" w:type="dxa"/>
          </w:tcPr>
          <w:p w14:paraId="2BD21768" w14:textId="4E7B30C6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Tirdzniecības organizator</w:t>
            </w:r>
            <w:r w:rsidR="00412EAC">
              <w:rPr>
                <w:rFonts w:eastAsia="Calibri" w:cs="Times New Roman"/>
                <w:kern w:val="0"/>
                <w:lang w:eastAsia="lv-LV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 xml:space="preserve">m par 9.1. </w:t>
            </w:r>
            <w:r w:rsidR="00412EAC">
              <w:rPr>
                <w:rFonts w:eastAsia="Calibri" w:cs="Times New Roman"/>
                <w:kern w:val="0"/>
                <w:lang w:eastAsia="lv-LV"/>
                <w14:ligatures w14:val="none"/>
              </w:rPr>
              <w:t>apakš</w:t>
            </w: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punktā paredzētās ielu tirdzniecības organizēšanu, kad pašvaldības nodevu nemaksā katrs tirdzniecības dalībnieks:</w:t>
            </w:r>
          </w:p>
        </w:tc>
        <w:tc>
          <w:tcPr>
            <w:tcW w:w="1572" w:type="dxa"/>
          </w:tcPr>
          <w:p w14:paraId="35D8CAEC" w14:textId="77777777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</w:p>
        </w:tc>
      </w:tr>
      <w:tr w:rsidR="009B2C1F" w14:paraId="07ECA025" w14:textId="77777777" w:rsidTr="00A50E0F">
        <w:tc>
          <w:tcPr>
            <w:tcW w:w="1423" w:type="dxa"/>
          </w:tcPr>
          <w:p w14:paraId="5ADCF87A" w14:textId="3F6EEDD4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</w:t>
            </w:r>
            <w:r w:rsidR="00A50E0F">
              <w:rPr>
                <w:rFonts w:eastAsia="Calibri" w:cs="Times New Roman"/>
                <w:kern w:val="0"/>
                <w:lang w:eastAsia="lv-LV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221" w:type="dxa"/>
          </w:tcPr>
          <w:p w14:paraId="6A3538BC" w14:textId="54FDC785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gadatirgus Alūksnes novada pagastu teritorijā</w:t>
            </w:r>
          </w:p>
        </w:tc>
        <w:tc>
          <w:tcPr>
            <w:tcW w:w="1572" w:type="dxa"/>
          </w:tcPr>
          <w:p w14:paraId="16CE6B07" w14:textId="2C1E7657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50</w:t>
            </w:r>
          </w:p>
        </w:tc>
      </w:tr>
      <w:tr w:rsidR="009B2C1F" w14:paraId="37BED62A" w14:textId="77777777" w:rsidTr="00A50E0F">
        <w:tc>
          <w:tcPr>
            <w:tcW w:w="1423" w:type="dxa"/>
          </w:tcPr>
          <w:p w14:paraId="469E6514" w14:textId="1DA6C588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</w:t>
            </w:r>
            <w:r w:rsidR="00A50E0F">
              <w:rPr>
                <w:rFonts w:eastAsia="Calibri" w:cs="Times New Roman"/>
                <w:kern w:val="0"/>
                <w:lang w:eastAsia="lv-LV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4221" w:type="dxa"/>
          </w:tcPr>
          <w:p w14:paraId="45987FC4" w14:textId="1B82C773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mājražotāju/krāmu tirdziņš</w:t>
            </w:r>
          </w:p>
        </w:tc>
        <w:tc>
          <w:tcPr>
            <w:tcW w:w="1572" w:type="dxa"/>
          </w:tcPr>
          <w:p w14:paraId="066A5155" w14:textId="733C36CF" w:rsidR="009B2C1F" w:rsidRDefault="009B2C1F" w:rsidP="009B2C1F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30</w:t>
            </w:r>
          </w:p>
        </w:tc>
      </w:tr>
    </w:tbl>
    <w:p w14:paraId="3F4F7CB3" w14:textId="77777777" w:rsidR="009B2C1F" w:rsidRDefault="009B2C1F" w:rsidP="009B2C1F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63E1FB2E" w14:textId="2DD07238" w:rsidR="001059D5" w:rsidRDefault="00412EAC" w:rsidP="00D90AE9">
      <w:pPr>
        <w:numPr>
          <w:ilvl w:val="0"/>
          <w:numId w:val="1"/>
        </w:num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Izteikt</w:t>
      </w:r>
      <w:r w:rsidR="00243CCE">
        <w:rPr>
          <w:rFonts w:eastAsia="Calibri" w:cs="Times New Roman"/>
          <w:kern w:val="0"/>
          <w:lang w:eastAsia="lv-LV"/>
          <w14:ligatures w14:val="none"/>
        </w:rPr>
        <w:t xml:space="preserve"> 12.</w:t>
      </w:r>
      <w:r w:rsidR="00243CCE" w:rsidRPr="00243CCE">
        <w:rPr>
          <w:rFonts w:eastAsia="Calibri" w:cs="Times New Roman"/>
          <w:kern w:val="0"/>
          <w:vertAlign w:val="superscript"/>
          <w:lang w:eastAsia="lv-LV"/>
          <w14:ligatures w14:val="none"/>
        </w:rPr>
        <w:t>3</w:t>
      </w:r>
      <w:r>
        <w:rPr>
          <w:rFonts w:eastAsia="Calibri" w:cs="Times New Roman"/>
          <w:kern w:val="0"/>
          <w:lang w:eastAsia="lv-LV"/>
          <w14:ligatures w14:val="none"/>
        </w:rPr>
        <w:t>punktu</w:t>
      </w:r>
      <w:r w:rsidR="00243CCE">
        <w:rPr>
          <w:rFonts w:eastAsia="Calibri" w:cs="Times New Roman"/>
          <w:kern w:val="0"/>
          <w:lang w:eastAsia="lv-LV"/>
          <w14:ligatures w14:val="none"/>
        </w:rPr>
        <w:t xml:space="preserve"> šādā redakcijā:</w:t>
      </w:r>
    </w:p>
    <w:p w14:paraId="0D13E5B8" w14:textId="6AFEA229" w:rsidR="00243CCE" w:rsidRDefault="00243CCE" w:rsidP="00243CCE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“</w:t>
      </w:r>
      <w:r w:rsidRPr="00243CCE">
        <w:rPr>
          <w:rFonts w:eastAsia="Calibri" w:cs="Times New Roman"/>
          <w:kern w:val="0"/>
          <w:lang w:eastAsia="lv-LV"/>
          <w14:ligatures w14:val="none"/>
        </w:rPr>
        <w:t>12.</w:t>
      </w:r>
      <w:r w:rsidRPr="00243CCE">
        <w:rPr>
          <w:rFonts w:eastAsia="Calibri" w:cs="Times New Roman"/>
          <w:kern w:val="0"/>
          <w:vertAlign w:val="superscript"/>
          <w:lang w:eastAsia="lv-LV"/>
          <w14:ligatures w14:val="none"/>
        </w:rPr>
        <w:t>3</w:t>
      </w:r>
      <w:r w:rsidRPr="00243CCE">
        <w:rPr>
          <w:rFonts w:eastAsia="Calibri" w:cs="Times New Roman"/>
          <w:kern w:val="0"/>
          <w:lang w:eastAsia="lv-LV"/>
          <w14:ligatures w14:val="none"/>
        </w:rPr>
        <w:t> </w:t>
      </w:r>
      <w:r w:rsidR="00A50E0F">
        <w:rPr>
          <w:rFonts w:eastAsia="Calibri" w:cs="Times New Roman"/>
          <w:kern w:val="0"/>
          <w:lang w:eastAsia="lv-LV"/>
          <w14:ligatures w14:val="none"/>
        </w:rPr>
        <w:t xml:space="preserve">Pašvaldības nodevām </w:t>
      </w:r>
      <w:r w:rsidRPr="00243CCE">
        <w:rPr>
          <w:rFonts w:eastAsia="Calibri" w:cs="Times New Roman"/>
          <w:kern w:val="0"/>
          <w:lang w:eastAsia="lv-LV"/>
          <w14:ligatures w14:val="none"/>
        </w:rPr>
        <w:t>9.1.9. un 9.1.10. apakšpunktā noteiktaj</w:t>
      </w:r>
      <w:r w:rsidR="00A50E0F">
        <w:rPr>
          <w:rFonts w:eastAsia="Calibri" w:cs="Times New Roman"/>
          <w:kern w:val="0"/>
          <w:lang w:eastAsia="lv-LV"/>
          <w14:ligatures w14:val="none"/>
        </w:rPr>
        <w:t>os gadījumos piemērojams koeficients 0.5, ja attiecīgs pasākums notiek</w:t>
      </w:r>
      <w:r w:rsidRPr="00243CCE">
        <w:rPr>
          <w:rFonts w:eastAsia="Calibri" w:cs="Times New Roman"/>
          <w:kern w:val="0"/>
          <w:lang w:eastAsia="lv-LV"/>
          <w14:ligatures w14:val="none"/>
        </w:rPr>
        <w:t xml:space="preserve"> Alūksnes novada pagast</w:t>
      </w:r>
      <w:r w:rsidR="00A50E0F">
        <w:rPr>
          <w:rFonts w:eastAsia="Calibri" w:cs="Times New Roman"/>
          <w:kern w:val="0"/>
          <w:lang w:eastAsia="lv-LV"/>
          <w14:ligatures w14:val="none"/>
        </w:rPr>
        <w:t>a</w:t>
      </w:r>
      <w:r w:rsidRPr="00243CCE">
        <w:rPr>
          <w:rFonts w:eastAsia="Calibri" w:cs="Times New Roman"/>
          <w:kern w:val="0"/>
          <w:lang w:eastAsia="lv-LV"/>
          <w14:ligatures w14:val="none"/>
        </w:rPr>
        <w:t xml:space="preserve"> teritorijā.</w:t>
      </w:r>
      <w:r>
        <w:rPr>
          <w:rFonts w:eastAsia="Calibri" w:cs="Times New Roman"/>
          <w:kern w:val="0"/>
          <w:lang w:eastAsia="lv-LV"/>
          <w14:ligatures w14:val="none"/>
        </w:rPr>
        <w:t>”.</w:t>
      </w:r>
    </w:p>
    <w:p w14:paraId="6F16A31F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27CD352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19C3E2C2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0ADEEA85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20513F1D" w14:textId="59008E03" w:rsidR="00D90AE9" w:rsidRDefault="00D90AE9" w:rsidP="005C766B">
      <w:p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5C766B">
        <w:rPr>
          <w:rFonts w:eastAsia="Times New Roman" w:cs="Times New Roman"/>
          <w:kern w:val="0"/>
          <w14:ligatures w14:val="none"/>
        </w:rPr>
        <w:t>Domes priekšsēdētājs</w:t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  <w:t xml:space="preserve">                             Dz.</w:t>
      </w:r>
      <w:r w:rsidR="00643B88">
        <w:rPr>
          <w:rFonts w:eastAsia="Times New Roman" w:cs="Times New Roman"/>
          <w:kern w:val="0"/>
          <w14:ligatures w14:val="none"/>
        </w:rPr>
        <w:t> </w:t>
      </w:r>
      <w:r w:rsidRPr="005C766B">
        <w:rPr>
          <w:rFonts w:eastAsia="Times New Roman" w:cs="Times New Roman"/>
          <w:kern w:val="0"/>
          <w14:ligatures w14:val="none"/>
        </w:rPr>
        <w:t>Adlers</w:t>
      </w:r>
      <w:r w:rsidRPr="005C766B">
        <w:rPr>
          <w:rFonts w:eastAsia="Calibri" w:cs="Times New Roman"/>
          <w:kern w:val="0"/>
          <w:lang w:eastAsia="lv-LV"/>
          <w14:ligatures w14:val="none"/>
        </w:rPr>
        <w:t xml:space="preserve"> </w:t>
      </w:r>
    </w:p>
    <w:p w14:paraId="24D7B314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01FDDA0A" w14:textId="77777777" w:rsidR="005C766B" w:rsidRDefault="005C766B" w:rsidP="005C766B">
      <w:p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297B6625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70C1D0AA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79E71641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0B7651EB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62658198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364B03C8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1030AA44" w14:textId="77777777" w:rsidR="009D7E11" w:rsidRDefault="009D7E11" w:rsidP="009D7E11">
      <w:pPr>
        <w:rPr>
          <w:rFonts w:eastAsia="Calibri" w:cs="Times New Roman"/>
          <w:kern w:val="0"/>
          <w:lang w:eastAsia="lv-LV"/>
          <w14:ligatures w14:val="none"/>
        </w:rPr>
      </w:pPr>
    </w:p>
    <w:p w14:paraId="1B71ABB8" w14:textId="76DCD051" w:rsidR="00D90AE9" w:rsidRPr="00230390" w:rsidRDefault="00D90AE9" w:rsidP="009D7E11">
      <w:pPr>
        <w:jc w:val="center"/>
        <w:rPr>
          <w:rFonts w:eastAsia="Calibri" w:cs="Times New Roman"/>
          <w:kern w:val="0"/>
          <w:lang w:eastAsia="lv-LV"/>
          <w14:ligatures w14:val="none"/>
        </w:rPr>
      </w:pPr>
      <w:r w:rsidRPr="00230390">
        <w:rPr>
          <w:rFonts w:eastAsia="Calibri" w:cs="Times New Roman"/>
          <w:b/>
          <w:kern w:val="0"/>
          <w:lang w:eastAsia="lv-LV"/>
          <w14:ligatures w14:val="none"/>
        </w:rPr>
        <w:lastRenderedPageBreak/>
        <w:t>Alūksnes novada pašvaldības domes saistošo noteikumu projekta</w:t>
      </w:r>
      <w:r w:rsidRPr="00230390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</w:t>
      </w:r>
      <w:r w:rsidRPr="00230390">
        <w:rPr>
          <w:rFonts w:eastAsia="Calibri" w:cs="Times New Roman"/>
          <w:b/>
          <w:color w:val="000000"/>
          <w:kern w:val="0"/>
          <w:lang w:eastAsia="lv-LV"/>
          <w14:ligatures w14:val="none"/>
        </w:rPr>
        <w:t xml:space="preserve">“Grozījumi Alūksnes novada pašvaldības domes 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2024.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gada 28.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novembra saistošajos noteikumos Nr.</w:t>
      </w:r>
      <w:r w:rsidR="00643B88">
        <w:rPr>
          <w:rFonts w:eastAsia="Times New Roman" w:cs="Times New Roman"/>
          <w:b/>
          <w:kern w:val="0"/>
          <w14:ligatures w14:val="none"/>
        </w:rPr>
        <w:t> </w:t>
      </w:r>
      <w:r w:rsidR="00AF43B6" w:rsidRPr="00AF43B6">
        <w:rPr>
          <w:rFonts w:eastAsia="Times New Roman" w:cs="Times New Roman"/>
          <w:b/>
          <w:kern w:val="0"/>
          <w14:ligatures w14:val="none"/>
        </w:rPr>
        <w:t>36/2024 “Par Alūksnes novada pašvaldības nodevām</w:t>
      </w:r>
      <w:r w:rsidRPr="00230390">
        <w:rPr>
          <w:rFonts w:eastAsia="Times New Roman" w:cs="Times New Roman"/>
          <w:b/>
          <w:kern w:val="0"/>
          <w14:ligatures w14:val="none"/>
        </w:rPr>
        <w:t xml:space="preserve">” </w:t>
      </w:r>
      <w:r w:rsidRPr="00230390">
        <w:rPr>
          <w:rFonts w:eastAsia="Calibri" w:cs="Times New Roman"/>
          <w:b/>
          <w:kern w:val="0"/>
          <w:lang w:eastAsia="lv-LV"/>
          <w14:ligatures w14:val="none"/>
        </w:rPr>
        <w:t>paskaidrojuma raksts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D90AE9" w:rsidRPr="00230390" w14:paraId="1DB7402B" w14:textId="77777777" w:rsidTr="00BB21C9">
        <w:trPr>
          <w:trHeight w:val="6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ADD" w14:textId="77777777" w:rsidR="00D90AE9" w:rsidRPr="00230390" w:rsidRDefault="00D90AE9" w:rsidP="00BB21C9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b/>
                <w:kern w:val="0"/>
                <w14:ligatures w14:val="none"/>
              </w:rPr>
              <w:t>Paskaidrojuma 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82E5" w14:textId="77777777" w:rsidR="00D90AE9" w:rsidRPr="00975D16" w:rsidRDefault="00D90AE9" w:rsidP="00BB21C9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highlight w:val="yellow"/>
                <w14:ligatures w14:val="none"/>
              </w:rPr>
            </w:pPr>
            <w:r w:rsidRPr="009A3B2F">
              <w:rPr>
                <w:rFonts w:eastAsia="Times New Roman" w:cs="Times New Roman"/>
                <w:b/>
                <w:kern w:val="0"/>
                <w14:ligatures w14:val="none"/>
              </w:rPr>
              <w:t>Informācija</w:t>
            </w:r>
          </w:p>
        </w:tc>
      </w:tr>
      <w:tr w:rsidR="00D90AE9" w:rsidRPr="00230390" w14:paraId="02578D26" w14:textId="77777777" w:rsidTr="00BB21C9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536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 xml:space="preserve">1. Projekta mērķis un nepieciešamības pamatojums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5174" w14:textId="163BE646" w:rsidR="00D90AE9" w:rsidRPr="00975D16" w:rsidRDefault="00EA70E5" w:rsidP="009A3B2F">
            <w:pPr>
              <w:spacing w:after="0" w:line="240" w:lineRule="auto"/>
              <w:jc w:val="both"/>
              <w:rPr>
                <w:rFonts w:eastAsia="Calibri" w:cs="Times New Roman"/>
                <w:kern w:val="0"/>
                <w:highlight w:val="yellow"/>
                <w14:ligatures w14:val="none"/>
              </w:rPr>
            </w:pP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Saistošo noteikumu izdošanas mērķis ir atbilstoš</w:t>
            </w:r>
            <w:r w:rsidR="007A73CB">
              <w:rPr>
                <w:rFonts w:eastAsia="Times New Roman" w:cs="Times New Roman"/>
                <w:kern w:val="0"/>
                <w:lang w:eastAsia="lv-LV"/>
                <w14:ligatures w14:val="none"/>
              </w:rPr>
              <w:t>s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Ministru kabineta 2005.</w:t>
            </w:r>
            <w:r w:rsidR="00643B88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gada 28.</w:t>
            </w:r>
            <w:r w:rsidR="00643B88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jūnija noteikumu Nr.</w:t>
            </w:r>
            <w:r w:rsidR="00643B88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480 </w:t>
            </w:r>
            <w:r w:rsidR="00643B88">
              <w:rPr>
                <w:rFonts w:eastAsia="Times New Roman" w:cs="Times New Roman"/>
                <w:kern w:val="0"/>
                <w:lang w:eastAsia="lv-LV"/>
                <w14:ligatures w14:val="none"/>
              </w:rPr>
              <w:t>“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Noteikumi par kārtību, kādā pašvaldības var uzlikt pašvaldības nodevas</w:t>
            </w:r>
            <w:r w:rsidR="002A460F">
              <w:rPr>
                <w:rFonts w:eastAsia="Times New Roman" w:cs="Times New Roman"/>
                <w:kern w:val="0"/>
                <w:lang w:eastAsia="lv-LV"/>
                <w14:ligatures w14:val="none"/>
              </w:rPr>
              <w:t>”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9.</w:t>
            </w:r>
            <w:r w:rsidR="002A460F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punktam</w:t>
            </w:r>
            <w:r w:rsidR="007A73CB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- p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ašvaldība ir tiesīga uzlikt </w:t>
            </w:r>
            <w:r w:rsidR="007A73CB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nodevas par tirdzniecību publiskās vietās, 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personām, kuras tirgojas publiskās vietās saskaņā ar normatīvajiem aktiem par tirdzniecības veidiem, kas saskaņojami ar pašvaldību, un tirdzniecības organizēšanas kārtību.</w:t>
            </w:r>
            <w:r w:rsidR="007A73CB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90AE9" w:rsidRPr="00230390" w14:paraId="51AA3CE7" w14:textId="77777777" w:rsidTr="00BB21C9">
        <w:trPr>
          <w:trHeight w:val="8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6E6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2. Projekta fiskālā ietekme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F23" w14:textId="12FDBDC9" w:rsidR="00D90AE9" w:rsidRPr="00975D16" w:rsidRDefault="001B71DA" w:rsidP="00BB21C9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Pamatojoties uz Pašvaldību likuma 46.</w:t>
            </w:r>
            <w:r w:rsidR="002A460F"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panta otro daļu, saistošo noteikumu projekta par pašvaldības nodevām paskaidrojuma rakstā neiekļauj informāciju par plānoto projektu ietekmi uz pašvaldības budžetu.</w:t>
            </w:r>
          </w:p>
        </w:tc>
      </w:tr>
      <w:tr w:rsidR="00D90AE9" w:rsidRPr="00230390" w14:paraId="61620AAB" w14:textId="77777777" w:rsidTr="00BB21C9">
        <w:trPr>
          <w:trHeight w:val="1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5EF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3. Projekta sociālā ietekme, ietekme uz vidi, iedzīvotāju veselību, uzņēmējdarbības vidi pašvaldības teritorijā, ietekme uz konkurenci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3C9" w14:textId="5FF2D6C3" w:rsidR="001B71DA" w:rsidRPr="00975D16" w:rsidRDefault="001B71DA" w:rsidP="001B71D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Noteikumu izdošana sekmēs saimniecisko darbību pašvaldības administratīvajā teritorijā un radīs labvēlīgu ietekmi uz uzņēmējdarbības vidi un konkurenci.</w:t>
            </w:r>
          </w:p>
          <w:p w14:paraId="3611BBE5" w14:textId="1696F3B5" w:rsidR="00D90AE9" w:rsidRPr="00975D16" w:rsidRDefault="00D90AE9" w:rsidP="00BB21C9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</w:tr>
      <w:tr w:rsidR="00D90AE9" w:rsidRPr="00230390" w14:paraId="4FDB3A76" w14:textId="77777777" w:rsidTr="00BB21C9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118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4. Projekta ietekme uz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0A9" w14:textId="10D8FB6E" w:rsidR="00D90AE9" w:rsidRPr="00975D16" w:rsidRDefault="001B71DA" w:rsidP="00BB21C9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Saistošie noteikumi neparedz tiesiskā regulējuma izmaiņas attiecībā uz administratīvajām procedūrām un neietekmē to izmaksas.</w:t>
            </w:r>
          </w:p>
        </w:tc>
      </w:tr>
      <w:tr w:rsidR="00D90AE9" w:rsidRPr="00230390" w14:paraId="78355007" w14:textId="77777777" w:rsidTr="00BB21C9">
        <w:trPr>
          <w:trHeight w:val="1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D41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5. Projekta ietekme uz pašvaldības funkcijām un cilvēkresursiem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644" w14:textId="03D28ACF" w:rsidR="00D90AE9" w:rsidRPr="001B71DA" w:rsidRDefault="001B71DA" w:rsidP="00BB21C9">
            <w:pPr>
              <w:tabs>
                <w:tab w:val="left" w:pos="47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A50E0F">
              <w:rPr>
                <w:rFonts w:cs="Times New Roman"/>
                <w:shd w:val="clear" w:color="auto" w:fill="FFFFFF"/>
              </w:rPr>
              <w:t>Saistošie noteikumi neparedz ietekmi uz pašvaldības autonomo funkciju izpildi un papildu cilvēkresursu iesaiste nav nepieciešama.</w:t>
            </w:r>
          </w:p>
        </w:tc>
      </w:tr>
      <w:tr w:rsidR="00D90AE9" w:rsidRPr="00230390" w14:paraId="4C1D6CD3" w14:textId="77777777" w:rsidTr="00BB21C9">
        <w:trPr>
          <w:trHeight w:val="9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0A2A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6. Informācija par projekta izpildes nodrošināšanu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D34" w14:textId="78B094FD" w:rsidR="00D90AE9" w:rsidRPr="00975D16" w:rsidRDefault="001B71DA" w:rsidP="00BB21C9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Saistošo noteikumu izpildes īstenošanu nodrošinās pašvaldības attiecīgās amatpersonas un iestādes.</w:t>
            </w:r>
          </w:p>
        </w:tc>
      </w:tr>
      <w:tr w:rsidR="00D90AE9" w:rsidRPr="00230390" w14:paraId="70BCC3E7" w14:textId="77777777" w:rsidTr="00BB21C9">
        <w:trPr>
          <w:trHeight w:val="15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BB16" w14:textId="77777777" w:rsidR="00D90AE9" w:rsidRPr="00230390" w:rsidRDefault="00D90AE9" w:rsidP="00BB21C9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7. Projekta prasību un izmaksu samērīgums pret ieguvumiem, ko sniedz mērķa sasniegšana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0C11" w14:textId="7593655B" w:rsidR="001B71DA" w:rsidRPr="00975D16" w:rsidRDefault="001B71DA" w:rsidP="001B71D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  <w:p w14:paraId="41DDB02F" w14:textId="230FD0F8" w:rsidR="00D90AE9" w:rsidRPr="00975D16" w:rsidRDefault="001B71DA" w:rsidP="00BB21C9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Saistošie noteikumi ir piemēroti iecerētā mērķa sasniegšanai un izvēlētie līdzekļi ir atbilstoši normatīvajiem tiesību aktiem.</w:t>
            </w:r>
          </w:p>
        </w:tc>
      </w:tr>
    </w:tbl>
    <w:p w14:paraId="340FB8DE" w14:textId="77777777" w:rsidR="00D90AE9" w:rsidRDefault="00D90AE9" w:rsidP="00D90AE9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5A33E614" w14:textId="67EEEFC2" w:rsidR="00D90AE9" w:rsidRPr="00230390" w:rsidRDefault="00D90AE9" w:rsidP="009D7E11">
      <w:pPr>
        <w:spacing w:after="0" w:line="240" w:lineRule="auto"/>
        <w:jc w:val="center"/>
        <w:rPr>
          <w:rFonts w:eastAsia="Calibri" w:cs="Times New Roman"/>
          <w:kern w:val="0"/>
          <w14:ligatures w14:val="none"/>
        </w:rPr>
      </w:pPr>
      <w:r w:rsidRPr="00230390">
        <w:rPr>
          <w:rFonts w:eastAsia="Calibri" w:cs="Times New Roman"/>
          <w:kern w:val="0"/>
          <w14:ligatures w14:val="none"/>
        </w:rPr>
        <w:t>Domes priekšsēdētājs</w:t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  <w:t>Dz. ADLERS</w:t>
      </w:r>
    </w:p>
    <w:p w14:paraId="623C95EC" w14:textId="77777777" w:rsidR="00D90AE9" w:rsidRDefault="00D90AE9" w:rsidP="003928DE">
      <w:pPr>
        <w:jc w:val="both"/>
      </w:pPr>
    </w:p>
    <w:sectPr w:rsidR="00D90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5498"/>
    <w:multiLevelType w:val="hybridMultilevel"/>
    <w:tmpl w:val="E800C9C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18"/>
    <w:rsid w:val="00010E7F"/>
    <w:rsid w:val="000211EB"/>
    <w:rsid w:val="000636E3"/>
    <w:rsid w:val="001059D5"/>
    <w:rsid w:val="00165CED"/>
    <w:rsid w:val="001B71DA"/>
    <w:rsid w:val="00243CCE"/>
    <w:rsid w:val="00263318"/>
    <w:rsid w:val="002A460F"/>
    <w:rsid w:val="003928DE"/>
    <w:rsid w:val="00412EAC"/>
    <w:rsid w:val="004A3FBF"/>
    <w:rsid w:val="005C766B"/>
    <w:rsid w:val="00643B88"/>
    <w:rsid w:val="0065711E"/>
    <w:rsid w:val="006A5388"/>
    <w:rsid w:val="007A73CB"/>
    <w:rsid w:val="0080334C"/>
    <w:rsid w:val="008B66DF"/>
    <w:rsid w:val="008D01F0"/>
    <w:rsid w:val="0090429B"/>
    <w:rsid w:val="00943030"/>
    <w:rsid w:val="00975D16"/>
    <w:rsid w:val="00993F81"/>
    <w:rsid w:val="009A3B2F"/>
    <w:rsid w:val="009B2C1F"/>
    <w:rsid w:val="009D7E11"/>
    <w:rsid w:val="009E2151"/>
    <w:rsid w:val="00A50E0F"/>
    <w:rsid w:val="00A87412"/>
    <w:rsid w:val="00A966C8"/>
    <w:rsid w:val="00AB3D32"/>
    <w:rsid w:val="00AD595E"/>
    <w:rsid w:val="00AF43B6"/>
    <w:rsid w:val="00B12D11"/>
    <w:rsid w:val="00B40BBE"/>
    <w:rsid w:val="00B707BC"/>
    <w:rsid w:val="00B91E11"/>
    <w:rsid w:val="00CB1D75"/>
    <w:rsid w:val="00CC1C87"/>
    <w:rsid w:val="00D55F94"/>
    <w:rsid w:val="00D81288"/>
    <w:rsid w:val="00D90AE9"/>
    <w:rsid w:val="00E86132"/>
    <w:rsid w:val="00E912B4"/>
    <w:rsid w:val="00EA70E5"/>
    <w:rsid w:val="00F3081B"/>
    <w:rsid w:val="00F42BAC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A4C9"/>
  <w15:chartTrackingRefBased/>
  <w15:docId w15:val="{40FF35BF-1A32-4DFA-9581-A76CEC50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6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33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33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33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33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33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33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33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33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33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33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33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33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33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331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33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33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6331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633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6331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331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331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9B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C1C87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90429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429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429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42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429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0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cp:lastPrinted>2026-04-20T12:35:00Z</cp:lastPrinted>
  <dcterms:created xsi:type="dcterms:W3CDTF">2026-05-06T12:14:00Z</dcterms:created>
  <dcterms:modified xsi:type="dcterms:W3CDTF">2026-05-06T12:14:00Z</dcterms:modified>
</cp:coreProperties>
</file>