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E29" w14:textId="77777777" w:rsidR="00AC3150" w:rsidRPr="00AE7FEE" w:rsidRDefault="00AC3150" w:rsidP="00AC3150">
      <w:pPr>
        <w:jc w:val="right"/>
        <w:rPr>
          <w:i/>
          <w:iCs/>
          <w:color w:val="000000" w:themeColor="text1"/>
        </w:rPr>
      </w:pPr>
      <w:r w:rsidRPr="00AE7FEE">
        <w:rPr>
          <w:i/>
          <w:iCs/>
          <w:color w:val="000000" w:themeColor="text1"/>
        </w:rPr>
        <w:t>LĒMUMA PROJEKTS</w:t>
      </w:r>
    </w:p>
    <w:p w14:paraId="7A8C8D4F" w14:textId="77777777" w:rsidR="00AC3150" w:rsidRPr="000E6250" w:rsidRDefault="00AC3150" w:rsidP="00AC3150">
      <w:pPr>
        <w:rPr>
          <w:szCs w:val="20"/>
        </w:rPr>
      </w:pPr>
    </w:p>
    <w:p w14:paraId="59E0A320" w14:textId="2E3314AF" w:rsidR="00EB383E" w:rsidRPr="000E6250" w:rsidRDefault="00EB383E" w:rsidP="00EB383E">
      <w:pPr>
        <w:jc w:val="center"/>
        <w:rPr>
          <w:b/>
          <w:bCs/>
        </w:rPr>
      </w:pPr>
      <w:r w:rsidRPr="00622A23">
        <w:rPr>
          <w:rFonts w:eastAsia="Calibri"/>
          <w:b/>
        </w:rPr>
        <w:t xml:space="preserve">Par saistošo noteikumu Nr. __/2023 </w:t>
      </w:r>
      <w:r w:rsidRPr="00622A23">
        <w:rPr>
          <w:rFonts w:eastAsia="Calibri"/>
          <w:b/>
          <w:color w:val="000000"/>
        </w:rPr>
        <w:t>“Par Alūksnes novada pašvaldības aģentūras “</w:t>
      </w:r>
      <w:r>
        <w:rPr>
          <w:rFonts w:eastAsia="Calibri"/>
          <w:b/>
          <w:color w:val="000000"/>
        </w:rPr>
        <w:t>SPODRA</w:t>
      </w:r>
      <w:r w:rsidRPr="00622A23">
        <w:rPr>
          <w:rFonts w:eastAsia="Calibri"/>
          <w:b/>
          <w:color w:val="000000"/>
        </w:rPr>
        <w:t>”</w:t>
      </w:r>
      <w:r w:rsidRPr="000E6250">
        <w:rPr>
          <w:b/>
          <w:bCs/>
        </w:rPr>
        <w:t>” maksas pakalpojumiem</w:t>
      </w:r>
      <w:r w:rsidR="00DE34B1">
        <w:rPr>
          <w:b/>
          <w:bCs/>
        </w:rPr>
        <w:t xml:space="preserve"> un to cenrādi</w:t>
      </w:r>
      <w:r w:rsidRPr="000E6250">
        <w:rPr>
          <w:b/>
          <w:bCs/>
        </w:rPr>
        <w:t>” izdošanu</w:t>
      </w:r>
    </w:p>
    <w:p w14:paraId="757BE85E" w14:textId="77777777" w:rsidR="00EB383E" w:rsidRPr="00622A23" w:rsidRDefault="00EB383E" w:rsidP="00EB383E">
      <w:pPr>
        <w:jc w:val="center"/>
        <w:rPr>
          <w:rFonts w:eastAsia="Calibri"/>
          <w:color w:val="000000"/>
        </w:rPr>
      </w:pPr>
    </w:p>
    <w:p w14:paraId="2D8E4DCB" w14:textId="77777777" w:rsidR="00EB383E" w:rsidRPr="00622A23" w:rsidRDefault="00EB383E" w:rsidP="00EB383E">
      <w:pPr>
        <w:jc w:val="both"/>
        <w:rPr>
          <w:rFonts w:eastAsia="Calibri"/>
          <w:color w:val="000000"/>
        </w:rPr>
      </w:pPr>
      <w:r w:rsidRPr="00622A23">
        <w:rPr>
          <w:color w:val="000000"/>
        </w:rPr>
        <w:tab/>
        <w:t>Pamatojoties uz Pašvaldību likuma 10. panta pirmās daļas 21.</w:t>
      </w:r>
      <w:r>
        <w:rPr>
          <w:color w:val="000000"/>
        </w:rPr>
        <w:t> </w:t>
      </w:r>
      <w:r w:rsidRPr="00622A23">
        <w:rPr>
          <w:color w:val="000000"/>
        </w:rPr>
        <w:t>punktu un 44.</w:t>
      </w:r>
      <w:r>
        <w:rPr>
          <w:color w:val="000000"/>
        </w:rPr>
        <w:t> </w:t>
      </w:r>
      <w:r w:rsidRPr="00622A23">
        <w:rPr>
          <w:color w:val="000000"/>
        </w:rPr>
        <w:t>panta otro daļu, Publisko aģentūru likuma 2.</w:t>
      </w:r>
      <w:r>
        <w:rPr>
          <w:color w:val="000000"/>
        </w:rPr>
        <w:t> </w:t>
      </w:r>
      <w:r w:rsidRPr="00622A23">
        <w:rPr>
          <w:color w:val="000000"/>
        </w:rPr>
        <w:t>panta otro daļu, 17.</w:t>
      </w:r>
      <w:r>
        <w:rPr>
          <w:color w:val="000000"/>
        </w:rPr>
        <w:t> </w:t>
      </w:r>
      <w:r w:rsidRPr="00622A23">
        <w:rPr>
          <w:color w:val="000000"/>
        </w:rPr>
        <w:t>panta otro un ceturto daļu,</w:t>
      </w:r>
    </w:p>
    <w:p w14:paraId="474B3119" w14:textId="77777777" w:rsidR="00EB383E" w:rsidRPr="00622A23" w:rsidRDefault="00EB383E" w:rsidP="00EB383E">
      <w:pPr>
        <w:jc w:val="both"/>
        <w:rPr>
          <w:rFonts w:eastAsia="Calibri"/>
          <w:color w:val="000000"/>
        </w:rPr>
      </w:pPr>
    </w:p>
    <w:p w14:paraId="2AA76972" w14:textId="5FC81283" w:rsidR="00EB383E" w:rsidRPr="00622A23" w:rsidRDefault="00EB383E" w:rsidP="00EB383E">
      <w:pPr>
        <w:jc w:val="both"/>
        <w:rPr>
          <w:rFonts w:eastAsia="Calibri"/>
          <w:color w:val="000000"/>
        </w:rPr>
      </w:pPr>
      <w:r w:rsidRPr="00622A23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Izdo</w:t>
      </w:r>
      <w:r w:rsidRPr="00622A23">
        <w:rPr>
          <w:rFonts w:eastAsia="Calibri"/>
          <w:color w:val="000000"/>
        </w:rPr>
        <w:t>t  saistošos noteikumus Nr. __/2023 “</w:t>
      </w:r>
      <w:r w:rsidRPr="00EB383E">
        <w:rPr>
          <w:rFonts w:eastAsia="Calibri"/>
          <w:color w:val="000000"/>
        </w:rPr>
        <w:t>Par Alūksnes novada</w:t>
      </w:r>
      <w:r w:rsidR="00DE34B1">
        <w:rPr>
          <w:rFonts w:eastAsia="Calibri"/>
          <w:color w:val="000000"/>
        </w:rPr>
        <w:t xml:space="preserve"> pašvaldības aģentūras “SPODRA”</w:t>
      </w:r>
      <w:r w:rsidRPr="00EB383E">
        <w:rPr>
          <w:rFonts w:eastAsia="Calibri"/>
          <w:color w:val="000000"/>
        </w:rPr>
        <w:t xml:space="preserve"> </w:t>
      </w:r>
      <w:r w:rsidR="00DE34B1" w:rsidRPr="00DE34B1">
        <w:rPr>
          <w:bCs/>
        </w:rPr>
        <w:t>maksas pakalpojumiem un to cenrādi</w:t>
      </w:r>
      <w:r w:rsidRPr="00622A23">
        <w:rPr>
          <w:rFonts w:eastAsia="Calibri"/>
          <w:color w:val="000000"/>
        </w:rPr>
        <w:t>”. </w:t>
      </w:r>
    </w:p>
    <w:p w14:paraId="7E0A558D" w14:textId="77777777" w:rsidR="00EB383E" w:rsidRDefault="00EB383E" w:rsidP="00AC3150">
      <w:pPr>
        <w:jc w:val="center"/>
        <w:rPr>
          <w:b/>
          <w:bCs/>
        </w:rPr>
      </w:pPr>
    </w:p>
    <w:p w14:paraId="41DFA29E" w14:textId="77777777" w:rsidR="00EB383E" w:rsidRDefault="00EB383E" w:rsidP="005B519D">
      <w:pPr>
        <w:pStyle w:val="Pamattekstsaratkpi"/>
        <w:rPr>
          <w:b/>
        </w:rPr>
      </w:pPr>
    </w:p>
    <w:p w14:paraId="3FC3FB7F" w14:textId="77777777" w:rsidR="00EB383E" w:rsidRPr="0089429E" w:rsidRDefault="00EB383E" w:rsidP="00EB383E">
      <w:pPr>
        <w:jc w:val="right"/>
        <w:rPr>
          <w:b/>
          <w:bCs/>
        </w:rPr>
      </w:pPr>
      <w:r>
        <w:rPr>
          <w:bCs/>
          <w:i/>
          <w:iCs/>
          <w:u w:val="single"/>
          <w:lang w:eastAsia="en-US"/>
        </w:rPr>
        <w:t xml:space="preserve">SAISTOŠO NOTEIKUMU </w:t>
      </w:r>
      <w:r w:rsidRPr="0089429E">
        <w:rPr>
          <w:bCs/>
          <w:i/>
          <w:iCs/>
          <w:u w:val="single"/>
          <w:lang w:eastAsia="en-US"/>
        </w:rPr>
        <w:t>PROJEKTS</w:t>
      </w:r>
    </w:p>
    <w:p w14:paraId="5C941FBC" w14:textId="77777777" w:rsidR="00EB383E" w:rsidRPr="0089429E" w:rsidRDefault="00EB383E" w:rsidP="00EB383E">
      <w:pPr>
        <w:jc w:val="right"/>
        <w:rPr>
          <w:bCs/>
          <w:i/>
          <w:iCs/>
          <w:lang w:eastAsia="en-US"/>
        </w:rPr>
      </w:pPr>
    </w:p>
    <w:p w14:paraId="39925F04" w14:textId="77777777" w:rsidR="00EB383E" w:rsidRPr="0089429E" w:rsidRDefault="00EB383E" w:rsidP="00EB383E">
      <w:pPr>
        <w:jc w:val="center"/>
        <w:rPr>
          <w:color w:val="FF0000"/>
          <w:lang w:eastAsia="en-US"/>
        </w:rPr>
      </w:pPr>
      <w:r w:rsidRPr="0089429E">
        <w:rPr>
          <w:b/>
          <w:lang w:eastAsia="en-US"/>
        </w:rPr>
        <w:t>SAISTOŠIE NOTEIKUMI Nr._</w:t>
      </w:r>
      <w:r>
        <w:rPr>
          <w:b/>
          <w:lang w:eastAsia="en-US"/>
        </w:rPr>
        <w:t>_</w:t>
      </w:r>
      <w:r w:rsidRPr="0089429E">
        <w:rPr>
          <w:b/>
          <w:lang w:eastAsia="en-US"/>
        </w:rPr>
        <w:t>/202</w:t>
      </w:r>
      <w:r>
        <w:rPr>
          <w:b/>
          <w:lang w:eastAsia="en-US"/>
        </w:rPr>
        <w:t>3</w:t>
      </w:r>
    </w:p>
    <w:p w14:paraId="6D65A9A2" w14:textId="77777777" w:rsidR="00EB383E" w:rsidRDefault="00EB383E" w:rsidP="005B519D">
      <w:pPr>
        <w:rPr>
          <w:rFonts w:eastAsia="Calibri"/>
          <w:color w:val="000000"/>
        </w:rPr>
      </w:pPr>
    </w:p>
    <w:p w14:paraId="7A169683" w14:textId="77777777" w:rsidR="00130E68" w:rsidRPr="00D66FA5" w:rsidRDefault="00130E68" w:rsidP="00130E68">
      <w:pPr>
        <w:jc w:val="center"/>
        <w:rPr>
          <w:rFonts w:eastAsia="Calibri"/>
          <w:color w:val="000000"/>
        </w:rPr>
      </w:pPr>
      <w:bookmarkStart w:id="0" w:name="_Hlk135379398"/>
      <w:r>
        <w:rPr>
          <w:rFonts w:eastAsia="Calibri"/>
          <w:b/>
          <w:color w:val="000000"/>
        </w:rPr>
        <w:t>Par Alūksnes novada pašvaldības aģentūras “SPODRA” maksas  pakalpojumiem un to cenrādi</w:t>
      </w:r>
    </w:p>
    <w:p w14:paraId="4F992736" w14:textId="77777777" w:rsidR="00130E68" w:rsidRDefault="00130E68" w:rsidP="00130E68">
      <w:pPr>
        <w:jc w:val="center"/>
        <w:rPr>
          <w:rFonts w:eastAsia="Calibri"/>
          <w:b/>
          <w:color w:val="000000"/>
        </w:rPr>
      </w:pPr>
    </w:p>
    <w:p w14:paraId="418213C4" w14:textId="77777777" w:rsidR="00130E68" w:rsidRDefault="00130E68" w:rsidP="00130E68">
      <w:pPr>
        <w:jc w:val="right"/>
        <w:rPr>
          <w:i/>
          <w:lang w:eastAsia="en-US"/>
        </w:rPr>
      </w:pPr>
      <w:r>
        <w:rPr>
          <w:i/>
          <w:lang w:eastAsia="en-US"/>
        </w:rPr>
        <w:t>Izdoti saskaņā ar</w:t>
      </w:r>
    </w:p>
    <w:p w14:paraId="363D152E" w14:textId="77777777" w:rsidR="00130E68" w:rsidRDefault="00130E68" w:rsidP="00130E68">
      <w:pPr>
        <w:jc w:val="right"/>
        <w:rPr>
          <w:i/>
        </w:rPr>
      </w:pPr>
      <w:r>
        <w:rPr>
          <w:i/>
        </w:rPr>
        <w:t>Pašvaldību likuma</w:t>
      </w:r>
    </w:p>
    <w:p w14:paraId="60624A6B" w14:textId="77777777" w:rsidR="00130E68" w:rsidRDefault="00130E68" w:rsidP="00130E68">
      <w:pPr>
        <w:jc w:val="right"/>
        <w:rPr>
          <w:i/>
        </w:rPr>
      </w:pPr>
      <w:r>
        <w:rPr>
          <w:i/>
        </w:rPr>
        <w:t>10. panta pirmās daļas 21. punktu,</w:t>
      </w:r>
    </w:p>
    <w:p w14:paraId="35CDDA5E" w14:textId="77777777" w:rsidR="00130E68" w:rsidRDefault="00130E68" w:rsidP="00130E68">
      <w:pPr>
        <w:jc w:val="right"/>
        <w:rPr>
          <w:i/>
        </w:rPr>
      </w:pPr>
      <w:r>
        <w:rPr>
          <w:i/>
        </w:rPr>
        <w:t>44. panta otro daļu,</w:t>
      </w:r>
    </w:p>
    <w:p w14:paraId="353F066A" w14:textId="77777777" w:rsidR="00130E68" w:rsidRDefault="00130E68" w:rsidP="00130E68">
      <w:pPr>
        <w:jc w:val="right"/>
        <w:rPr>
          <w:i/>
        </w:rPr>
      </w:pPr>
      <w:r>
        <w:rPr>
          <w:i/>
        </w:rPr>
        <w:t>Publisko aģentūru likuma 2. panta otro daļu,</w:t>
      </w:r>
    </w:p>
    <w:p w14:paraId="4DE5E82C" w14:textId="77777777" w:rsidR="00130E68" w:rsidRDefault="00130E68" w:rsidP="00130E68">
      <w:pPr>
        <w:jc w:val="right"/>
        <w:rPr>
          <w:bCs/>
          <w:i/>
          <w:iCs/>
          <w:lang w:val="en-GB" w:eastAsia="en-US"/>
        </w:rPr>
      </w:pPr>
      <w:r>
        <w:rPr>
          <w:i/>
        </w:rPr>
        <w:t>17. panta otro un ceturto daļu</w:t>
      </w:r>
    </w:p>
    <w:p w14:paraId="0808CDC2" w14:textId="77777777" w:rsidR="00130E68" w:rsidRPr="005B519D" w:rsidRDefault="00130E68" w:rsidP="00130E68">
      <w:pPr>
        <w:jc w:val="both"/>
        <w:rPr>
          <w:color w:val="000000" w:themeColor="text1"/>
        </w:rPr>
      </w:pPr>
    </w:p>
    <w:p w14:paraId="54CA42EC" w14:textId="77777777" w:rsidR="00130E68" w:rsidRDefault="00130E68" w:rsidP="00130E68">
      <w:pPr>
        <w:pStyle w:val="Sarakstarindkopa"/>
        <w:numPr>
          <w:ilvl w:val="0"/>
          <w:numId w:val="4"/>
        </w:numPr>
        <w:jc w:val="both"/>
      </w:pPr>
      <w:r w:rsidRPr="004B01CB">
        <w:t>Saistošie noteikumi nosaka Alūksnes novada pašvaldības aģentūra</w:t>
      </w:r>
      <w:r>
        <w:t>s</w:t>
      </w:r>
      <w:r w:rsidRPr="004B01CB">
        <w:t xml:space="preserve"> </w:t>
      </w:r>
      <w:r>
        <w:t>“</w:t>
      </w:r>
      <w:r w:rsidRPr="004B01CB">
        <w:t>SPODRA</w:t>
      </w:r>
      <w:r>
        <w:t>”</w:t>
      </w:r>
      <w:r w:rsidRPr="004B01CB">
        <w:t>, turpmāk – Aģentūra, sniegtos maksas pakalpojumus, to cenrādi, maksāšanas kārtību.</w:t>
      </w:r>
    </w:p>
    <w:p w14:paraId="6E764175" w14:textId="77777777" w:rsidR="00130E68" w:rsidRDefault="00130E68" w:rsidP="00130E68">
      <w:pPr>
        <w:pStyle w:val="tv213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t>Aģentūra sniedz maksas pakalpojumus saskaņā ar cenrādi (pielikums):</w:t>
      </w:r>
    </w:p>
    <w:p w14:paraId="49BA0AA8" w14:textId="77777777" w:rsidR="00130E68" w:rsidRDefault="00130E68" w:rsidP="00130E68">
      <w:pPr>
        <w:pStyle w:val="tv213"/>
        <w:numPr>
          <w:ilvl w:val="1"/>
          <w:numId w:val="4"/>
        </w:numPr>
        <w:jc w:val="both"/>
      </w:pPr>
      <w:r>
        <w:t>cenrāža 1.–3., 14.–16., 20.-25.punktos noteiktos pakalpojumus – Alūksnes novada teritorijā,</w:t>
      </w:r>
    </w:p>
    <w:p w14:paraId="0137B144" w14:textId="77777777" w:rsidR="00130E68" w:rsidRDefault="00130E68" w:rsidP="00130E68">
      <w:pPr>
        <w:pStyle w:val="Sarakstarindkopa"/>
        <w:numPr>
          <w:ilvl w:val="1"/>
          <w:numId w:val="4"/>
        </w:numPr>
        <w:jc w:val="both"/>
      </w:pPr>
      <w:r>
        <w:t>cenrāža 1.–28. punktos noteiktos pakalpojumus – Alūksnes pilsētas teritorijā.</w:t>
      </w:r>
    </w:p>
    <w:p w14:paraId="50983633" w14:textId="77777777" w:rsidR="00130E68" w:rsidRDefault="00130E68" w:rsidP="00130E68">
      <w:pPr>
        <w:pStyle w:val="Sarakstarindkopa"/>
        <w:numPr>
          <w:ilvl w:val="0"/>
          <w:numId w:val="4"/>
        </w:numPr>
        <w:jc w:val="both"/>
      </w:pPr>
      <w:r w:rsidRPr="004B01CB">
        <w:t>Aprēķinot samaksu par Aģentūras sniegto pakalpojumu, ņem vērā</w:t>
      </w:r>
      <w:r>
        <w:t xml:space="preserve"> </w:t>
      </w:r>
      <w:r w:rsidRPr="00AE7FEE">
        <w:rPr>
          <w:color w:val="000000" w:themeColor="text1"/>
        </w:rPr>
        <w:t xml:space="preserve">cenrādī </w:t>
      </w:r>
      <w:r w:rsidRPr="004B01CB">
        <w:t>norādīto mērvienību un norēķinos papildus aprēķina pievienotās vērtības nodokli normatīvajos aktos paredzētajā kārtībā un apmērā.</w:t>
      </w:r>
    </w:p>
    <w:p w14:paraId="7A641AB7" w14:textId="77777777" w:rsidR="00130E68" w:rsidRDefault="00130E68" w:rsidP="00130E68">
      <w:pPr>
        <w:pStyle w:val="Sarakstarindkopa"/>
        <w:numPr>
          <w:ilvl w:val="0"/>
          <w:numId w:val="4"/>
        </w:numPr>
        <w:jc w:val="both"/>
      </w:pPr>
      <w:r w:rsidRPr="004B01CB">
        <w:t>Samaksu par sniegtajiem maksas pakalpojumiem Aģentūra saņem skaidras vai bezskaidras naudas norēķinu veidā:</w:t>
      </w:r>
    </w:p>
    <w:p w14:paraId="6D61E221" w14:textId="77777777" w:rsidR="00130E68" w:rsidRDefault="00130E68" w:rsidP="00130E68">
      <w:pPr>
        <w:pStyle w:val="Sarakstarindkopa"/>
        <w:numPr>
          <w:ilvl w:val="1"/>
          <w:numId w:val="4"/>
        </w:numPr>
        <w:jc w:val="both"/>
      </w:pPr>
      <w:r w:rsidRPr="004B01CB">
        <w:t xml:space="preserve">cenrāža </w:t>
      </w:r>
      <w:r>
        <w:rPr>
          <w:color w:val="000000" w:themeColor="text1"/>
        </w:rPr>
        <w:t>1.-10., 14.-16. un 20., 21.</w:t>
      </w:r>
      <w:r w:rsidRPr="004B01CB">
        <w:t xml:space="preserve"> punktos noteiktajos gadījumos – pēc pakalpojuma saņemšanas, ievērojot rēķinā norādīto samaksas termiņu,</w:t>
      </w:r>
    </w:p>
    <w:p w14:paraId="5F2CEB5F" w14:textId="77777777" w:rsidR="00130E68" w:rsidRDefault="00130E68" w:rsidP="00130E68">
      <w:pPr>
        <w:pStyle w:val="Sarakstarindkopa"/>
        <w:numPr>
          <w:ilvl w:val="1"/>
          <w:numId w:val="4"/>
        </w:numPr>
        <w:jc w:val="both"/>
      </w:pPr>
      <w:r>
        <w:t>cenrāža 11.-13., 17.–19. un 22.-27. punktos noteiktajos gadījumos – pirms pakalpojuma sniegšanas.</w:t>
      </w:r>
    </w:p>
    <w:p w14:paraId="594E7E31" w14:textId="77777777" w:rsidR="00130E68" w:rsidRDefault="00130E68" w:rsidP="00130E68">
      <w:pPr>
        <w:pStyle w:val="Sarakstarindkopa"/>
        <w:numPr>
          <w:ilvl w:val="0"/>
          <w:numId w:val="4"/>
        </w:numPr>
        <w:jc w:val="both"/>
      </w:pPr>
      <w:r w:rsidRPr="004B01CB">
        <w:t>Maksa par pakalpojumiem tiek ieskaitīta Alūksnes novada pašvaldības budžetā un izlietota Aģentūras darbības nodrošināšanai.</w:t>
      </w:r>
    </w:p>
    <w:p w14:paraId="334C001C" w14:textId="77777777" w:rsidR="00130E68" w:rsidRDefault="00130E68" w:rsidP="00130E68">
      <w:pPr>
        <w:pStyle w:val="Sarakstarindkopa"/>
        <w:numPr>
          <w:ilvl w:val="0"/>
          <w:numId w:val="4"/>
        </w:numPr>
        <w:jc w:val="both"/>
      </w:pPr>
      <w:r>
        <w:t>Atzīt par spēku zaudējušiem Alūksnes novada domes 2021. gada 23. septembra saistošos noteikumus Nr. 27/2021 “Par pašvaldības aģentūras “SPODRA” sniegtajiem maksas pakalpojumiem”.</w:t>
      </w:r>
    </w:p>
    <w:p w14:paraId="05ACF1A4" w14:textId="77777777" w:rsidR="00130E68" w:rsidRDefault="00130E68" w:rsidP="00130E68">
      <w:pPr>
        <w:jc w:val="both"/>
      </w:pPr>
    </w:p>
    <w:p w14:paraId="70FC98B7" w14:textId="77777777" w:rsidR="00130E68" w:rsidRPr="002D0323" w:rsidRDefault="00130E68" w:rsidP="00130E68">
      <w:pPr>
        <w:pStyle w:val="Pamattekstsaratkpi"/>
        <w:tabs>
          <w:tab w:val="left" w:pos="2880"/>
        </w:tabs>
        <w:jc w:val="right"/>
        <w:rPr>
          <w:szCs w:val="24"/>
        </w:rPr>
      </w:pPr>
      <w:r w:rsidRPr="002D0323">
        <w:rPr>
          <w:szCs w:val="24"/>
        </w:rPr>
        <w:t>Pielikums</w:t>
      </w:r>
    </w:p>
    <w:p w14:paraId="257B8849" w14:textId="77777777" w:rsidR="00130E68" w:rsidRPr="00952804" w:rsidRDefault="00130E68" w:rsidP="00130E68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Alūksnes novada pašvaldības domes 2023.gada ________</w:t>
      </w:r>
    </w:p>
    <w:p w14:paraId="0F283044" w14:textId="77777777" w:rsidR="00130E68" w:rsidRPr="00156378" w:rsidRDefault="00130E68" w:rsidP="00130E68">
      <w:pPr>
        <w:pStyle w:val="Pamattekstsaratkpi"/>
        <w:tabs>
          <w:tab w:val="left" w:pos="2880"/>
        </w:tabs>
        <w:jc w:val="right"/>
        <w:rPr>
          <w:color w:val="FF0000"/>
          <w:szCs w:val="24"/>
        </w:rPr>
      </w:pPr>
      <w:r w:rsidRPr="00952804">
        <w:rPr>
          <w:szCs w:val="24"/>
        </w:rPr>
        <w:t>saistošajiem noteikumiem Nr.</w:t>
      </w:r>
      <w:r>
        <w:rPr>
          <w:szCs w:val="24"/>
        </w:rPr>
        <w:t>__</w:t>
      </w:r>
      <w:r w:rsidRPr="00952804">
        <w:rPr>
          <w:szCs w:val="24"/>
        </w:rPr>
        <w:t>/20</w:t>
      </w:r>
      <w:r>
        <w:rPr>
          <w:szCs w:val="24"/>
        </w:rPr>
        <w:t>23</w:t>
      </w:r>
    </w:p>
    <w:p w14:paraId="13D048B8" w14:textId="77777777" w:rsidR="00130E68" w:rsidRDefault="00130E68" w:rsidP="00130E68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“Par Alūksnes novada pašvaldības aģentūras</w:t>
      </w:r>
    </w:p>
    <w:p w14:paraId="38826E2C" w14:textId="77777777" w:rsidR="00130E68" w:rsidRDefault="00130E68" w:rsidP="00130E68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“SPODRA” maksas pakalpojumiem un to cenrādi”</w:t>
      </w:r>
    </w:p>
    <w:p w14:paraId="7EC951B7" w14:textId="77777777" w:rsidR="00130E68" w:rsidRPr="00AD6016" w:rsidRDefault="00130E68" w:rsidP="00130E68">
      <w:pPr>
        <w:pStyle w:val="Pamattekstsaratkpi"/>
        <w:tabs>
          <w:tab w:val="left" w:pos="2880"/>
        </w:tabs>
        <w:jc w:val="right"/>
        <w:rPr>
          <w:szCs w:val="24"/>
        </w:rPr>
      </w:pPr>
    </w:p>
    <w:p w14:paraId="0C50E17B" w14:textId="77777777" w:rsidR="00130E68" w:rsidRDefault="00130E68" w:rsidP="00130E68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 w:rsidRPr="004E471F">
        <w:rPr>
          <w:b/>
          <w:szCs w:val="24"/>
        </w:rPr>
        <w:lastRenderedPageBreak/>
        <w:t>A</w:t>
      </w:r>
      <w:r>
        <w:rPr>
          <w:b/>
          <w:szCs w:val="24"/>
        </w:rPr>
        <w:t>lūksnes novada pašvaldības aģentūras “SPODRA”</w:t>
      </w:r>
    </w:p>
    <w:p w14:paraId="15E6D2E0" w14:textId="77777777" w:rsidR="00130E68" w:rsidRPr="004E471F" w:rsidRDefault="00130E68" w:rsidP="00130E68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>
        <w:rPr>
          <w:b/>
          <w:szCs w:val="24"/>
        </w:rPr>
        <w:t xml:space="preserve"> sniegto</w:t>
      </w:r>
      <w:r w:rsidRPr="004E471F">
        <w:rPr>
          <w:b/>
          <w:szCs w:val="24"/>
        </w:rPr>
        <w:t xml:space="preserve"> </w:t>
      </w:r>
      <w:r>
        <w:rPr>
          <w:b/>
          <w:szCs w:val="24"/>
        </w:rPr>
        <w:t>maksas pakalpojumu</w:t>
      </w:r>
      <w:r w:rsidRPr="004E471F">
        <w:rPr>
          <w:b/>
          <w:szCs w:val="24"/>
        </w:rPr>
        <w:t xml:space="preserve"> cenrādis</w:t>
      </w:r>
    </w:p>
    <w:p w14:paraId="53348EC6" w14:textId="77777777" w:rsidR="00130E68" w:rsidRDefault="00130E68" w:rsidP="00130E68">
      <w:pPr>
        <w:pStyle w:val="Pamattekstsaratkpi"/>
        <w:rPr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843"/>
      </w:tblGrid>
      <w:tr w:rsidR="00130E68" w:rsidRPr="00C664EF" w14:paraId="74391B1E" w14:textId="77777777" w:rsidTr="00DF2A7B">
        <w:tc>
          <w:tcPr>
            <w:tcW w:w="567" w:type="dxa"/>
            <w:shd w:val="clear" w:color="auto" w:fill="auto"/>
            <w:vAlign w:val="center"/>
          </w:tcPr>
          <w:p w14:paraId="22563300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proofErr w:type="spellStart"/>
            <w:r w:rsidRPr="00C664EF">
              <w:rPr>
                <w:szCs w:val="24"/>
              </w:rPr>
              <w:t>N</w:t>
            </w:r>
            <w:r>
              <w:rPr>
                <w:szCs w:val="24"/>
              </w:rPr>
              <w:t>r</w:t>
            </w:r>
            <w:r w:rsidRPr="00C664EF">
              <w:rPr>
                <w:szCs w:val="24"/>
              </w:rPr>
              <w:t>.p</w:t>
            </w:r>
            <w:proofErr w:type="spellEnd"/>
            <w:r w:rsidRPr="00C664EF">
              <w:rPr>
                <w:szCs w:val="24"/>
              </w:rPr>
              <w:t>.</w:t>
            </w:r>
          </w:p>
          <w:p w14:paraId="5FEF3E25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k.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3005A7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Pakalpojuma nosaukums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5CD4E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20A12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C664EF">
              <w:rPr>
                <w:szCs w:val="24"/>
              </w:rPr>
              <w:t>ena bez PVN (EUR)</w:t>
            </w:r>
          </w:p>
        </w:tc>
      </w:tr>
      <w:tr w:rsidR="00130E68" w:rsidRPr="008B6A15" w14:paraId="6FEC460D" w14:textId="77777777" w:rsidTr="00DF2A7B">
        <w:tc>
          <w:tcPr>
            <w:tcW w:w="567" w:type="dxa"/>
            <w:shd w:val="clear" w:color="auto" w:fill="auto"/>
            <w:vAlign w:val="center"/>
          </w:tcPr>
          <w:p w14:paraId="4DD25225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14:paraId="18A64636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Kravas automašīnas  MAN 8.163 ar kravas kasti 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04741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A66F2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43,65 EUR</w:t>
            </w:r>
          </w:p>
        </w:tc>
      </w:tr>
      <w:tr w:rsidR="00130E68" w:rsidRPr="008B6A15" w14:paraId="70D23F0B" w14:textId="77777777" w:rsidTr="00DF2A7B">
        <w:tc>
          <w:tcPr>
            <w:tcW w:w="567" w:type="dxa"/>
            <w:shd w:val="clear" w:color="auto" w:fill="auto"/>
            <w:vAlign w:val="center"/>
          </w:tcPr>
          <w:p w14:paraId="56484F64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2F1A941C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Kravas automašīnas  VW LT46 </w:t>
            </w:r>
            <w:r>
              <w:rPr>
                <w:szCs w:val="24"/>
              </w:rPr>
              <w:t xml:space="preserve">-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0B56A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C62AB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35,50 EUR</w:t>
            </w:r>
          </w:p>
        </w:tc>
      </w:tr>
      <w:tr w:rsidR="00130E68" w:rsidRPr="008B6A15" w14:paraId="4BF35DE4" w14:textId="77777777" w:rsidTr="00DF2A7B">
        <w:tc>
          <w:tcPr>
            <w:tcW w:w="567" w:type="dxa"/>
            <w:shd w:val="clear" w:color="auto" w:fill="auto"/>
            <w:vAlign w:val="center"/>
          </w:tcPr>
          <w:p w14:paraId="4CC96BD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63A6DF8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Vieglās automašīnas VW TRANSPORTER ar kravas kasti 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9A7A5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15C01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24,33 EUR</w:t>
            </w:r>
          </w:p>
        </w:tc>
      </w:tr>
      <w:tr w:rsidR="00130E68" w:rsidRPr="008B6A15" w14:paraId="2C396604" w14:textId="77777777" w:rsidTr="00DF2A7B">
        <w:tc>
          <w:tcPr>
            <w:tcW w:w="567" w:type="dxa"/>
            <w:shd w:val="clear" w:color="auto" w:fill="auto"/>
            <w:vAlign w:val="center"/>
          </w:tcPr>
          <w:p w14:paraId="5265D14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2719E496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KIOTI DK 451C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321E4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7E1AD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21,73 EUR</w:t>
            </w:r>
          </w:p>
        </w:tc>
      </w:tr>
      <w:tr w:rsidR="00130E68" w:rsidRPr="008B6A15" w14:paraId="3EC09FFE" w14:textId="77777777" w:rsidTr="00DF2A7B">
        <w:tc>
          <w:tcPr>
            <w:tcW w:w="567" w:type="dxa"/>
            <w:shd w:val="clear" w:color="auto" w:fill="auto"/>
            <w:vAlign w:val="center"/>
          </w:tcPr>
          <w:p w14:paraId="310B7BD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209A155C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AVANT 750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23DBE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77B4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29,55 EUR</w:t>
            </w:r>
          </w:p>
        </w:tc>
      </w:tr>
      <w:tr w:rsidR="00130E68" w:rsidRPr="008B6A15" w14:paraId="5F1B321C" w14:textId="77777777" w:rsidTr="00DF2A7B">
        <w:tc>
          <w:tcPr>
            <w:tcW w:w="567" w:type="dxa"/>
            <w:shd w:val="clear" w:color="auto" w:fill="auto"/>
            <w:vAlign w:val="center"/>
          </w:tcPr>
          <w:p w14:paraId="7EC6A76A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26118D0A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AVANT 750 (ar sniega kausu)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C721B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23580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40,43 EUR</w:t>
            </w:r>
          </w:p>
        </w:tc>
      </w:tr>
      <w:tr w:rsidR="00130E68" w:rsidRPr="008B6A15" w14:paraId="37C7B98D" w14:textId="77777777" w:rsidTr="00DF2A7B">
        <w:tc>
          <w:tcPr>
            <w:tcW w:w="567" w:type="dxa"/>
            <w:shd w:val="clear" w:color="auto" w:fill="auto"/>
            <w:vAlign w:val="center"/>
          </w:tcPr>
          <w:p w14:paraId="315E485F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090B2315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 xml:space="preserve">Komunālās mašīnas RASCO HOLDER MUVO (ar slotu un </w:t>
            </w:r>
            <w:proofErr w:type="spellStart"/>
            <w:r w:rsidRPr="00890BBE">
              <w:rPr>
                <w:szCs w:val="24"/>
              </w:rPr>
              <w:t>savācējkasti</w:t>
            </w:r>
            <w:proofErr w:type="spellEnd"/>
            <w:r w:rsidRPr="00890BBE">
              <w:rPr>
                <w:szCs w:val="24"/>
              </w:rPr>
              <w:t>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D8372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86356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58,75 EUR</w:t>
            </w:r>
          </w:p>
        </w:tc>
      </w:tr>
      <w:tr w:rsidR="00130E68" w:rsidRPr="008B6A15" w14:paraId="447879A6" w14:textId="77777777" w:rsidTr="00DF2A7B">
        <w:tc>
          <w:tcPr>
            <w:tcW w:w="567" w:type="dxa"/>
            <w:shd w:val="clear" w:color="auto" w:fill="auto"/>
            <w:vAlign w:val="center"/>
          </w:tcPr>
          <w:p w14:paraId="042631DD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4853A461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 xml:space="preserve">Zālienu pļaušanas pakalpojums ar universālo </w:t>
            </w:r>
            <w:proofErr w:type="spellStart"/>
            <w:r w:rsidRPr="00890BBE">
              <w:rPr>
                <w:szCs w:val="24"/>
              </w:rPr>
              <w:t>pašgājējmašīnu</w:t>
            </w:r>
            <w:proofErr w:type="spellEnd"/>
            <w:r w:rsidRPr="00890BBE">
              <w:rPr>
                <w:szCs w:val="24"/>
              </w:rPr>
              <w:t xml:space="preserve"> KUBOTA G23-2HD (ar </w:t>
            </w:r>
            <w:proofErr w:type="spellStart"/>
            <w:r w:rsidRPr="00890BBE">
              <w:rPr>
                <w:szCs w:val="24"/>
              </w:rPr>
              <w:t>savācējkasti</w:t>
            </w:r>
            <w:proofErr w:type="spellEnd"/>
            <w:r w:rsidRPr="00890BBE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BD606D0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</w:p>
          <w:p w14:paraId="6CD030C7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890BBE">
              <w:rPr>
                <w:szCs w:val="24"/>
              </w:rPr>
              <w:t>100 m</w:t>
            </w:r>
            <w:r w:rsidRPr="00890BBE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C2C9F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890BBE">
              <w:rPr>
                <w:szCs w:val="24"/>
              </w:rPr>
              <w:t>1,02 EUR</w:t>
            </w:r>
          </w:p>
        </w:tc>
      </w:tr>
      <w:tr w:rsidR="00130E68" w:rsidRPr="008B6A15" w14:paraId="3EA2CC74" w14:textId="77777777" w:rsidTr="00DF2A7B">
        <w:tc>
          <w:tcPr>
            <w:tcW w:w="567" w:type="dxa"/>
            <w:shd w:val="clear" w:color="auto" w:fill="auto"/>
            <w:vAlign w:val="center"/>
          </w:tcPr>
          <w:p w14:paraId="5CDF9D62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09A5AEC4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Mazu kombinētu zālienu ar stumjamo pļaujmašīnu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pļaušana</w:t>
            </w:r>
            <w:r>
              <w:rPr>
                <w:szCs w:val="24"/>
              </w:rPr>
              <w:t>s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E59D7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890BBE">
              <w:rPr>
                <w:szCs w:val="24"/>
              </w:rPr>
              <w:t>100 m</w:t>
            </w:r>
            <w:r w:rsidRPr="00890BBE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394F44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890BBE">
              <w:rPr>
                <w:szCs w:val="24"/>
              </w:rPr>
              <w:t>2,32 EUR</w:t>
            </w:r>
          </w:p>
        </w:tc>
      </w:tr>
      <w:tr w:rsidR="00130E68" w:rsidRPr="008B6A15" w14:paraId="517133CF" w14:textId="77777777" w:rsidTr="00DF2A7B">
        <w:tc>
          <w:tcPr>
            <w:tcW w:w="567" w:type="dxa"/>
            <w:shd w:val="clear" w:color="auto" w:fill="auto"/>
            <w:vAlign w:val="center"/>
          </w:tcPr>
          <w:p w14:paraId="068A5596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04020DFF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Zāles un sīku krūmu nelīdzenās vietās ar krūmgriezi </w:t>
            </w:r>
            <w:r>
              <w:rPr>
                <w:szCs w:val="24"/>
              </w:rPr>
              <w:t>–</w:t>
            </w:r>
            <w:r w:rsidRPr="00890BBE">
              <w:rPr>
                <w:szCs w:val="24"/>
              </w:rPr>
              <w:t xml:space="preserve"> trimmeri</w:t>
            </w:r>
            <w:r>
              <w:rPr>
                <w:szCs w:val="24"/>
              </w:rPr>
              <w:t xml:space="preserve">  </w:t>
            </w:r>
            <w:r w:rsidRPr="00890BBE">
              <w:rPr>
                <w:szCs w:val="24"/>
              </w:rPr>
              <w:t>pļaušana</w:t>
            </w:r>
            <w:r>
              <w:rPr>
                <w:szCs w:val="24"/>
              </w:rPr>
              <w:t>s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FB372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890BBE">
              <w:rPr>
                <w:szCs w:val="24"/>
              </w:rPr>
              <w:t>100 m</w:t>
            </w:r>
            <w:r w:rsidRPr="00890BBE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F40503" w14:textId="77777777" w:rsidR="00130E68" w:rsidRPr="00890BBE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890BBE">
              <w:rPr>
                <w:szCs w:val="24"/>
              </w:rPr>
              <w:t>2,55 EUR</w:t>
            </w:r>
          </w:p>
        </w:tc>
      </w:tr>
      <w:tr w:rsidR="00130E68" w:rsidRPr="008B6A15" w14:paraId="23CDD1CB" w14:textId="77777777" w:rsidTr="00DF2A7B">
        <w:tc>
          <w:tcPr>
            <w:tcW w:w="567" w:type="dxa"/>
            <w:shd w:val="clear" w:color="auto" w:fill="auto"/>
            <w:vAlign w:val="center"/>
          </w:tcPr>
          <w:p w14:paraId="7EDD5F5E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0DA08AD1" w14:textId="77777777" w:rsidR="00130E68" w:rsidRPr="00890BBE" w:rsidRDefault="00130E68" w:rsidP="00DF2A7B">
            <w:r w:rsidRPr="00890BBE">
              <w:t>Muižas parka teritorijas (pie Alūksnes novada muzeja) 1200 m</w:t>
            </w:r>
            <w:r w:rsidRPr="00890BBE">
              <w:rPr>
                <w:vertAlign w:val="superscript"/>
              </w:rPr>
              <w:t>2</w:t>
            </w:r>
            <w:r w:rsidRPr="00890BBE">
              <w:t xml:space="preserve"> platībā sakopšanas pakalpojums</w:t>
            </w:r>
            <w:r>
              <w:t xml:space="preserve"> pirms </w:t>
            </w:r>
            <w:r w:rsidRPr="00890BBE">
              <w:t xml:space="preserve">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A3C88" w14:textId="77777777" w:rsidR="00130E68" w:rsidRPr="004B5F2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4B5F2F">
              <w:rPr>
                <w:szCs w:val="24"/>
              </w:rPr>
              <w:t>1200 m</w:t>
            </w:r>
            <w:r w:rsidRPr="004B5F2F">
              <w:rPr>
                <w:szCs w:val="24"/>
                <w:vertAlign w:val="superscript"/>
              </w:rPr>
              <w:t xml:space="preserve"> 2</w:t>
            </w:r>
          </w:p>
          <w:p w14:paraId="34F1079F" w14:textId="77777777" w:rsidR="00130E68" w:rsidRPr="00674028" w:rsidRDefault="00130E68" w:rsidP="00DF2A7B">
            <w:pPr>
              <w:pStyle w:val="Pamattekstsaratkpi"/>
              <w:rPr>
                <w:color w:val="FF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BE2CEA" w14:textId="77777777" w:rsidR="00130E68" w:rsidRPr="00674028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4B5F2F">
              <w:rPr>
                <w:szCs w:val="24"/>
              </w:rPr>
              <w:t>61,14 EUR</w:t>
            </w:r>
          </w:p>
        </w:tc>
      </w:tr>
      <w:tr w:rsidR="00130E68" w:rsidRPr="008B6A15" w14:paraId="3774F809" w14:textId="77777777" w:rsidTr="00DF2A7B">
        <w:tc>
          <w:tcPr>
            <w:tcW w:w="567" w:type="dxa"/>
            <w:shd w:val="clear" w:color="auto" w:fill="auto"/>
            <w:vAlign w:val="center"/>
          </w:tcPr>
          <w:p w14:paraId="29F628D9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6389C6F9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Muižas parka teritorijas (pie Aleksandra paviljona) 700 m</w:t>
            </w:r>
            <w:r w:rsidRPr="00890BBE">
              <w:rPr>
                <w:szCs w:val="24"/>
                <w:vertAlign w:val="superscript"/>
              </w:rPr>
              <w:t>2</w:t>
            </w:r>
            <w:r w:rsidRPr="00890BBE">
              <w:rPr>
                <w:szCs w:val="24"/>
              </w:rPr>
              <w:t xml:space="preserve"> platībā sakopšanas pakalpojums pirms 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33CDD" w14:textId="77777777" w:rsidR="00130E68" w:rsidRPr="001D6D2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D6D23">
              <w:rPr>
                <w:szCs w:val="24"/>
              </w:rPr>
              <w:t>00 m</w:t>
            </w:r>
            <w:r w:rsidRPr="001D6D23">
              <w:rPr>
                <w:szCs w:val="24"/>
                <w:vertAlign w:val="superscript"/>
              </w:rPr>
              <w:t xml:space="preserve"> 2</w:t>
            </w:r>
          </w:p>
          <w:p w14:paraId="0C62AE2C" w14:textId="77777777" w:rsidR="00130E68" w:rsidRPr="008B6A15" w:rsidRDefault="00130E68" w:rsidP="00DF2A7B">
            <w:pPr>
              <w:pStyle w:val="Pamattekstsaratkpi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C09731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35,67</w:t>
            </w:r>
            <w:r w:rsidRPr="008B6A15">
              <w:rPr>
                <w:szCs w:val="24"/>
              </w:rPr>
              <w:t xml:space="preserve"> EUR</w:t>
            </w:r>
          </w:p>
        </w:tc>
      </w:tr>
      <w:tr w:rsidR="00130E68" w:rsidRPr="008B6A15" w14:paraId="28B9638C" w14:textId="77777777" w:rsidTr="00DF2A7B">
        <w:tc>
          <w:tcPr>
            <w:tcW w:w="567" w:type="dxa"/>
            <w:shd w:val="clear" w:color="auto" w:fill="auto"/>
            <w:vAlign w:val="center"/>
          </w:tcPr>
          <w:p w14:paraId="1D5C44D1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77C8CDB4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proofErr w:type="spellStart"/>
            <w:r w:rsidRPr="00890BBE">
              <w:rPr>
                <w:szCs w:val="24"/>
              </w:rPr>
              <w:t>Tempļakalna</w:t>
            </w:r>
            <w:proofErr w:type="spellEnd"/>
            <w:r w:rsidRPr="00890BBE">
              <w:rPr>
                <w:szCs w:val="24"/>
              </w:rPr>
              <w:t xml:space="preserve"> mežaparka teritorijas (pie 101 pakāpiena) 200 m</w:t>
            </w:r>
            <w:r w:rsidRPr="00890BBE">
              <w:rPr>
                <w:szCs w:val="24"/>
                <w:vertAlign w:val="superscript"/>
              </w:rPr>
              <w:t>2</w:t>
            </w:r>
            <w:r w:rsidRPr="00890BBE">
              <w:rPr>
                <w:szCs w:val="24"/>
              </w:rPr>
              <w:t xml:space="preserve"> platībā sakopšanas pakalpojums pirms 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8730A" w14:textId="77777777" w:rsidR="00130E68" w:rsidRPr="001D6D2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D6D23">
              <w:rPr>
                <w:szCs w:val="24"/>
              </w:rPr>
              <w:t>00 m</w:t>
            </w:r>
            <w:r w:rsidRPr="001D6D23">
              <w:rPr>
                <w:szCs w:val="24"/>
                <w:vertAlign w:val="superscript"/>
              </w:rPr>
              <w:t xml:space="preserve"> 2</w:t>
            </w:r>
          </w:p>
          <w:p w14:paraId="26B24231" w14:textId="77777777" w:rsidR="00130E68" w:rsidRPr="001D6D23" w:rsidRDefault="00130E68" w:rsidP="00DF2A7B">
            <w:pPr>
              <w:pStyle w:val="Pamattekstsaratkpi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21982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10,19</w:t>
            </w:r>
            <w:r w:rsidRPr="008B6A15">
              <w:rPr>
                <w:szCs w:val="24"/>
              </w:rPr>
              <w:t xml:space="preserve"> EUR</w:t>
            </w:r>
          </w:p>
        </w:tc>
      </w:tr>
      <w:tr w:rsidR="00130E68" w:rsidRPr="008B6A15" w14:paraId="6541B9A9" w14:textId="77777777" w:rsidTr="00DF2A7B">
        <w:tc>
          <w:tcPr>
            <w:tcW w:w="567" w:type="dxa"/>
            <w:shd w:val="clear" w:color="auto" w:fill="auto"/>
            <w:vAlign w:val="center"/>
          </w:tcPr>
          <w:p w14:paraId="6B2CCB19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307864BC" w14:textId="77777777" w:rsidR="00130E68" w:rsidRPr="00890BBE" w:rsidRDefault="00130E68" w:rsidP="00DF2A7B">
            <w:pPr>
              <w:pStyle w:val="Pamattekstsaratkpi"/>
              <w:rPr>
                <w:szCs w:val="24"/>
                <w:lang w:eastAsia="lv-LV"/>
              </w:rPr>
            </w:pPr>
            <w:r w:rsidRPr="00890BBE">
              <w:rPr>
                <w:szCs w:val="24"/>
              </w:rPr>
              <w:t>Dažādas cietības koku zāģēšanas un vainaga veidošanas (divi darbinieki - arborists un uzkopšanas darbu meistars) pakalpojum</w:t>
            </w:r>
            <w:r>
              <w:rPr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D5472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786A93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D4C38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40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8B6A15" w14:paraId="7522091E" w14:textId="77777777" w:rsidTr="00DF2A7B">
        <w:tc>
          <w:tcPr>
            <w:tcW w:w="567" w:type="dxa"/>
            <w:shd w:val="clear" w:color="auto" w:fill="auto"/>
            <w:vAlign w:val="center"/>
          </w:tcPr>
          <w:p w14:paraId="257C86E0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354F0A3B" w14:textId="77777777" w:rsidR="00130E68" w:rsidRPr="00890BBE" w:rsidRDefault="00130E68" w:rsidP="00DF2A7B">
            <w:pPr>
              <w:pStyle w:val="Pamattekstsaratkpi"/>
              <w:rPr>
                <w:szCs w:val="24"/>
                <w:lang w:eastAsia="lv-LV"/>
              </w:rPr>
            </w:pPr>
            <w:r w:rsidRPr="00890BBE">
              <w:rPr>
                <w:szCs w:val="24"/>
              </w:rPr>
              <w:t>Ilggadīgo dekoratīvo kokaugu stādījumu apgriešanas vai formēšanas (ar dzīvžoga šķērēm) pakalpojum</w:t>
            </w:r>
            <w:r>
              <w:rPr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83E85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786A93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339ED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89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19E7D0A7" w14:textId="77777777" w:rsidTr="00DF2A7B">
        <w:tc>
          <w:tcPr>
            <w:tcW w:w="567" w:type="dxa"/>
            <w:shd w:val="clear" w:color="auto" w:fill="auto"/>
            <w:vAlign w:val="center"/>
          </w:tcPr>
          <w:p w14:paraId="35C4C3CD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58986BB5" w14:textId="77777777" w:rsidR="00130E68" w:rsidRPr="00890BBE" w:rsidRDefault="00130E68" w:rsidP="00DF2A7B">
            <w:pPr>
              <w:pStyle w:val="Pamattekstsaratkpi"/>
              <w:rPr>
                <w:szCs w:val="24"/>
                <w:lang w:eastAsia="lv-LV"/>
              </w:rPr>
            </w:pPr>
            <w:r w:rsidRPr="00890BBE">
              <w:rPr>
                <w:szCs w:val="24"/>
              </w:rPr>
              <w:t>Celmu frēzēšanas (viens darbinieks)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 xml:space="preserve"> pakalpojum</w:t>
            </w:r>
            <w:r>
              <w:rPr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8EF98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786A93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C8930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87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73BA0D0C" w14:textId="77777777" w:rsidTr="00DF2A7B">
        <w:tc>
          <w:tcPr>
            <w:tcW w:w="567" w:type="dxa"/>
            <w:shd w:val="clear" w:color="auto" w:fill="auto"/>
            <w:vAlign w:val="center"/>
          </w:tcPr>
          <w:p w14:paraId="6D3C64D1" w14:textId="77777777" w:rsidR="00130E68" w:rsidRPr="00786A93" w:rsidRDefault="00130E68" w:rsidP="00DF2A7B">
            <w:pPr>
              <w:pStyle w:val="Pamattekstsaratkpi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F49113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Kapsētas pārziņa pakalpojumi Alūksnes Lielajos un Mazajos kapos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E5628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apbedījums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BDE41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66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1692A11C" w14:textId="77777777" w:rsidTr="00DF2A7B">
        <w:tc>
          <w:tcPr>
            <w:tcW w:w="567" w:type="dxa"/>
            <w:shd w:val="clear" w:color="auto" w:fill="auto"/>
            <w:vAlign w:val="center"/>
          </w:tcPr>
          <w:p w14:paraId="43937BDB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C0360D8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Kapličas ēkas sagatavošanas pakalpojums bēru ceremonijai (apbedīšanas dienā)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7019A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5678F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8,68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0F7E2419" w14:textId="77777777" w:rsidTr="00DF2A7B">
        <w:tc>
          <w:tcPr>
            <w:tcW w:w="567" w:type="dxa"/>
            <w:shd w:val="clear" w:color="auto" w:fill="auto"/>
            <w:vAlign w:val="center"/>
          </w:tcPr>
          <w:p w14:paraId="123B5F94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ACE7148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Zvanītāja pakalpojumi kapličā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C99B2" w14:textId="77777777" w:rsidR="00130E68" w:rsidRPr="00375D8D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375D8D">
              <w:rPr>
                <w:szCs w:val="24"/>
              </w:rPr>
              <w:t>20 minūtes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10088" w14:textId="77777777" w:rsidR="00130E68" w:rsidRPr="00375D8D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3,69</w:t>
            </w:r>
            <w:r w:rsidRPr="00375D8D">
              <w:rPr>
                <w:szCs w:val="24"/>
              </w:rPr>
              <w:t xml:space="preserve"> EUR</w:t>
            </w:r>
          </w:p>
        </w:tc>
      </w:tr>
      <w:tr w:rsidR="00130E68" w:rsidRPr="00786A93" w14:paraId="491E503D" w14:textId="77777777" w:rsidTr="00DF2A7B">
        <w:tc>
          <w:tcPr>
            <w:tcW w:w="567" w:type="dxa"/>
            <w:shd w:val="clear" w:color="auto" w:fill="auto"/>
            <w:vAlign w:val="center"/>
          </w:tcPr>
          <w:p w14:paraId="753B7984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lastRenderedPageBreak/>
              <w:t>20</w:t>
            </w:r>
          </w:p>
        </w:tc>
        <w:tc>
          <w:tcPr>
            <w:tcW w:w="4678" w:type="dxa"/>
            <w:shd w:val="clear" w:color="auto" w:fill="auto"/>
          </w:tcPr>
          <w:p w14:paraId="05B1C421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Maksa par zaļo un dārza atkritumu (zaru) ievešanu un pārstrādi </w:t>
            </w:r>
            <w:r w:rsidRPr="00890BBE">
              <w:t>“Iztekās”, Alsviķu pagastā, Alūksnes novadā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DCD2E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tonna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5111C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31,08 EUR</w:t>
            </w:r>
          </w:p>
        </w:tc>
      </w:tr>
      <w:tr w:rsidR="00130E68" w:rsidRPr="00786A93" w14:paraId="75B4CD4B" w14:textId="77777777" w:rsidTr="00DF2A7B">
        <w:tc>
          <w:tcPr>
            <w:tcW w:w="567" w:type="dxa"/>
            <w:shd w:val="clear" w:color="auto" w:fill="auto"/>
            <w:vAlign w:val="center"/>
          </w:tcPr>
          <w:p w14:paraId="2AF911BF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14:paraId="302AA135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Maksa par zaļo un dārza atkritumu (lapu) ievešanu un pārstrādi </w:t>
            </w:r>
            <w:r w:rsidRPr="00890BBE">
              <w:t>“Iztekās”, Alsviķu pagastā, Alūksnes novadā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73968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tonna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22BBC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14,53</w:t>
            </w:r>
            <w:r w:rsidRPr="00890BBE">
              <w:rPr>
                <w:szCs w:val="24"/>
              </w:rPr>
              <w:t xml:space="preserve"> EUR</w:t>
            </w:r>
          </w:p>
        </w:tc>
      </w:tr>
      <w:tr w:rsidR="00130E68" w:rsidRPr="00786A93" w14:paraId="3FB1C7D5" w14:textId="77777777" w:rsidTr="00DF2A7B">
        <w:tc>
          <w:tcPr>
            <w:tcW w:w="567" w:type="dxa"/>
            <w:shd w:val="clear" w:color="auto" w:fill="auto"/>
            <w:vAlign w:val="center"/>
          </w:tcPr>
          <w:p w14:paraId="3434BC25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14:paraId="6622A1B1" w14:textId="77777777" w:rsidR="00130E68" w:rsidRPr="00890BBE" w:rsidRDefault="00130E68" w:rsidP="00DF2A7B">
            <w:pPr>
              <w:pStyle w:val="Pamattekstsaratkpi"/>
              <w:rPr>
                <w:szCs w:val="24"/>
                <w:vertAlign w:val="superscript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sporta trasē sniega apstākļos</w:t>
            </w:r>
            <w:r>
              <w:rPr>
                <w:szCs w:val="24"/>
              </w:rPr>
              <w:t xml:space="preserve"> viena diena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203BA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>diena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5DD26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301,33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7DFE4CC1" w14:textId="77777777" w:rsidTr="00DF2A7B">
        <w:tc>
          <w:tcPr>
            <w:tcW w:w="567" w:type="dxa"/>
            <w:shd w:val="clear" w:color="auto" w:fill="auto"/>
            <w:vAlign w:val="center"/>
          </w:tcPr>
          <w:p w14:paraId="224C05BB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14:paraId="5984981F" w14:textId="77777777" w:rsidR="00130E68" w:rsidRPr="00890BBE" w:rsidRDefault="00130E68" w:rsidP="00DF2A7B">
            <w:pPr>
              <w:pStyle w:val="Pamattekstsaratkpi"/>
              <w:rPr>
                <w:szCs w:val="24"/>
                <w:vertAlign w:val="superscript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sporta trasē bezsniega apstākļos</w:t>
            </w:r>
            <w:r>
              <w:rPr>
                <w:szCs w:val="24"/>
              </w:rPr>
              <w:t xml:space="preserve"> viena diena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CB826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 xml:space="preserve"> diena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1704F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276,50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55B04DDE" w14:textId="77777777" w:rsidTr="00DF2A7B">
        <w:tc>
          <w:tcPr>
            <w:tcW w:w="567" w:type="dxa"/>
            <w:shd w:val="clear" w:color="auto" w:fill="auto"/>
            <w:vAlign w:val="center"/>
          </w:tcPr>
          <w:p w14:paraId="1FD381F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14:paraId="102D083E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</w:t>
            </w:r>
            <w:r>
              <w:rPr>
                <w:szCs w:val="24"/>
              </w:rPr>
              <w:t>b</w:t>
            </w:r>
            <w:r w:rsidRPr="00890BBE">
              <w:rPr>
                <w:szCs w:val="24"/>
              </w:rPr>
              <w:t>iatlona šautuv</w:t>
            </w:r>
            <w:r>
              <w:rPr>
                <w:szCs w:val="24"/>
              </w:rPr>
              <w:t>ē</w:t>
            </w:r>
            <w:r w:rsidRPr="00890BBE">
              <w:rPr>
                <w:szCs w:val="24"/>
              </w:rPr>
              <w:t xml:space="preserve"> sniega apstākļos</w:t>
            </w:r>
            <w:r>
              <w:rPr>
                <w:szCs w:val="24"/>
              </w:rPr>
              <w:t xml:space="preserve"> viena stunda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3</w:t>
            </w:r>
            <w:r w:rsidRPr="00890BBE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1F882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8B6A15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75FBB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32,07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3B51E36A" w14:textId="77777777" w:rsidTr="00DF2A7B">
        <w:tc>
          <w:tcPr>
            <w:tcW w:w="567" w:type="dxa"/>
            <w:shd w:val="clear" w:color="auto" w:fill="auto"/>
            <w:vAlign w:val="center"/>
          </w:tcPr>
          <w:p w14:paraId="67A81BAE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14:paraId="373AE0D7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</w:t>
            </w:r>
            <w:r>
              <w:rPr>
                <w:szCs w:val="24"/>
              </w:rPr>
              <w:t>b</w:t>
            </w:r>
            <w:r w:rsidRPr="00890BBE">
              <w:rPr>
                <w:szCs w:val="24"/>
              </w:rPr>
              <w:t>iatlona šautuv</w:t>
            </w:r>
            <w:r>
              <w:rPr>
                <w:szCs w:val="24"/>
              </w:rPr>
              <w:t>ē</w:t>
            </w:r>
            <w:r w:rsidRPr="00890BBE">
              <w:rPr>
                <w:szCs w:val="24"/>
              </w:rPr>
              <w:t xml:space="preserve"> </w:t>
            </w:r>
            <w:r>
              <w:rPr>
                <w:szCs w:val="24"/>
              </w:rPr>
              <w:t>bez</w:t>
            </w:r>
            <w:r w:rsidRPr="00890BBE">
              <w:rPr>
                <w:szCs w:val="24"/>
              </w:rPr>
              <w:t>sniega apstākļos</w:t>
            </w:r>
            <w:r>
              <w:rPr>
                <w:szCs w:val="24"/>
              </w:rPr>
              <w:t xml:space="preserve"> viena stunda</w:t>
            </w:r>
            <w:r w:rsidRPr="00890BBE">
              <w:rPr>
                <w:szCs w:val="24"/>
              </w:rPr>
              <w:t>*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070E5" w14:textId="77777777" w:rsidR="00130E68" w:rsidRPr="008B6A15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8B6A15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7E466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17,30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6657BF55" w14:textId="77777777" w:rsidTr="00DF2A7B">
        <w:tc>
          <w:tcPr>
            <w:tcW w:w="567" w:type="dxa"/>
            <w:shd w:val="clear" w:color="auto" w:fill="auto"/>
            <w:vAlign w:val="center"/>
          </w:tcPr>
          <w:p w14:paraId="4F8E227D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14:paraId="1ACDEC1B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 xml:space="preserve">Maksa par visas Alūksnes </w:t>
            </w:r>
            <w:proofErr w:type="spellStart"/>
            <w:r>
              <w:rPr>
                <w:szCs w:val="24"/>
              </w:rPr>
              <w:t>Pilssalas</w:t>
            </w:r>
            <w:proofErr w:type="spellEnd"/>
            <w:r>
              <w:rPr>
                <w:szCs w:val="24"/>
              </w:rPr>
              <w:t xml:space="preserve"> teritorijas izmantošanu</w:t>
            </w:r>
            <w:r w:rsidRPr="00890BBE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7815A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 xml:space="preserve"> diennakts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A46B8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746,50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796E882A" w14:textId="77777777" w:rsidTr="00DF2A7B">
        <w:tc>
          <w:tcPr>
            <w:tcW w:w="567" w:type="dxa"/>
            <w:shd w:val="clear" w:color="auto" w:fill="auto"/>
            <w:vAlign w:val="center"/>
          </w:tcPr>
          <w:p w14:paraId="4F540C7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14:paraId="666E792F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Maksa par Alūksnes pilsētas publiskās tualetes izmantošanu Alūksnes izziņas un pakalpojum</w:t>
            </w:r>
            <w:r>
              <w:rPr>
                <w:szCs w:val="24"/>
              </w:rPr>
              <w:t>u</w:t>
            </w:r>
            <w:r w:rsidRPr="00890BBE">
              <w:rPr>
                <w:szCs w:val="24"/>
              </w:rPr>
              <w:t xml:space="preserve"> centrā Ojāra Vācieša ielā 1, Alūksnē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BDF02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172EE3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47F2325F" w14:textId="77777777" w:rsidTr="00DF2A7B">
        <w:tc>
          <w:tcPr>
            <w:tcW w:w="567" w:type="dxa"/>
            <w:shd w:val="clear" w:color="auto" w:fill="auto"/>
            <w:vAlign w:val="center"/>
          </w:tcPr>
          <w:p w14:paraId="206A9AF6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14:paraId="34C791D4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Maksa par Alūksnes pilsētas publiskās tualetes izmantošanu Pils ielā 72, Alūksnē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25046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3E7A9A" w14:textId="77777777" w:rsidR="00130E68" w:rsidRPr="001A62B5" w:rsidRDefault="00130E68" w:rsidP="00DF2A7B">
            <w:pPr>
              <w:pStyle w:val="Pamattekstsaratkpi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0,41</w:t>
            </w:r>
            <w:r w:rsidRPr="00786A93">
              <w:rPr>
                <w:szCs w:val="24"/>
              </w:rPr>
              <w:t xml:space="preserve"> EUR</w:t>
            </w:r>
            <w:r>
              <w:rPr>
                <w:szCs w:val="24"/>
              </w:rPr>
              <w:t>*</w:t>
            </w:r>
            <w:r>
              <w:rPr>
                <w:szCs w:val="24"/>
                <w:vertAlign w:val="superscript"/>
              </w:rPr>
              <w:t>5</w:t>
            </w:r>
          </w:p>
        </w:tc>
      </w:tr>
    </w:tbl>
    <w:p w14:paraId="31834AD8" w14:textId="77777777" w:rsidR="00130E68" w:rsidRDefault="00130E68" w:rsidP="00130E68">
      <w:pPr>
        <w:pStyle w:val="Pamattekstsaratkpi"/>
        <w:ind w:left="1443"/>
        <w:rPr>
          <w:szCs w:val="24"/>
        </w:rPr>
      </w:pPr>
      <w:r>
        <w:rPr>
          <w:szCs w:val="24"/>
        </w:rPr>
        <w:t>*</w:t>
      </w:r>
      <w:r>
        <w:rPr>
          <w:szCs w:val="24"/>
          <w:vertAlign w:val="superscript"/>
        </w:rPr>
        <w:t xml:space="preserve">1;2;3;4 </w:t>
      </w:r>
      <w:r>
        <w:rPr>
          <w:szCs w:val="24"/>
        </w:rPr>
        <w:t>sadzīves atkritumu izvešanas un pārvietojamās tualetes izdevumus – sedz Nomnieks,</w:t>
      </w:r>
    </w:p>
    <w:p w14:paraId="14DAFC44" w14:textId="77777777" w:rsidR="00130E68" w:rsidRPr="001A62B5" w:rsidRDefault="00130E68" w:rsidP="00130E68">
      <w:pPr>
        <w:pStyle w:val="Pamattekstsaratkpi"/>
        <w:ind w:left="1443"/>
        <w:rPr>
          <w:szCs w:val="24"/>
        </w:rPr>
      </w:pPr>
      <w:r>
        <w:rPr>
          <w:szCs w:val="24"/>
        </w:rPr>
        <w:t>*</w:t>
      </w:r>
      <w:r w:rsidRPr="001A62B5">
        <w:rPr>
          <w:szCs w:val="24"/>
          <w:vertAlign w:val="superscript"/>
        </w:rPr>
        <w:t>5</w:t>
      </w:r>
      <w:r>
        <w:rPr>
          <w:szCs w:val="24"/>
          <w:vertAlign w:val="superscript"/>
        </w:rPr>
        <w:t xml:space="preserve">  </w:t>
      </w:r>
      <w:r>
        <w:rPr>
          <w:szCs w:val="24"/>
        </w:rPr>
        <w:t>tiek piešķirts maksas atvieglojums publiskās tualetes apmeklētājiem.</w:t>
      </w:r>
    </w:p>
    <w:p w14:paraId="300C6E3B" w14:textId="77777777" w:rsidR="00130E68" w:rsidRDefault="00130E68" w:rsidP="00130E68">
      <w:pPr>
        <w:pStyle w:val="Pamattekstsaratkpi"/>
        <w:tabs>
          <w:tab w:val="left" w:pos="2880"/>
        </w:tabs>
        <w:rPr>
          <w:szCs w:val="24"/>
        </w:rPr>
      </w:pPr>
    </w:p>
    <w:p w14:paraId="67F9D8B8" w14:textId="4EAE08FC" w:rsidR="00130E68" w:rsidRPr="00130E68" w:rsidRDefault="00130E68" w:rsidP="00130E68">
      <w:pPr>
        <w:jc w:val="center"/>
      </w:pPr>
      <w:r w:rsidRPr="00A86D24">
        <w:rPr>
          <w:b/>
        </w:rPr>
        <w:t xml:space="preserve">Alūksnes novada </w:t>
      </w:r>
      <w:r>
        <w:rPr>
          <w:b/>
        </w:rPr>
        <w:t xml:space="preserve">pašvaldības </w:t>
      </w:r>
      <w:r w:rsidRPr="00A86D24">
        <w:rPr>
          <w:b/>
        </w:rPr>
        <w:t>domes saistošo noteikumu projekta</w:t>
      </w:r>
      <w:r>
        <w:t xml:space="preserve"> </w:t>
      </w:r>
      <w:r>
        <w:rPr>
          <w:b/>
        </w:rPr>
        <w:t>“</w:t>
      </w:r>
      <w:r w:rsidRPr="00A86D24">
        <w:rPr>
          <w:b/>
        </w:rPr>
        <w:t xml:space="preserve">Par Alūksnes novada pašvaldības aģentūras </w:t>
      </w:r>
      <w:r>
        <w:rPr>
          <w:b/>
        </w:rPr>
        <w:t>“</w:t>
      </w:r>
      <w:r w:rsidRPr="00A86D24">
        <w:rPr>
          <w:b/>
        </w:rPr>
        <w:t>SPODRA” maksas pakalpojumiem</w:t>
      </w:r>
      <w:r w:rsidRPr="00F852D8">
        <w:rPr>
          <w:b/>
          <w:bCs/>
        </w:rPr>
        <w:t xml:space="preserve"> </w:t>
      </w:r>
      <w:r>
        <w:rPr>
          <w:b/>
          <w:bCs/>
        </w:rPr>
        <w:t>un to cenrādi</w:t>
      </w:r>
      <w:r w:rsidRPr="00A86D24">
        <w:rPr>
          <w:b/>
        </w:rPr>
        <w:t xml:space="preserve">” </w:t>
      </w:r>
      <w:r>
        <w:t xml:space="preserve"> </w:t>
      </w:r>
      <w:r w:rsidRPr="00A86D24">
        <w:rPr>
          <w:b/>
        </w:rPr>
        <w:t>paskaidrojuma raksts</w:t>
      </w:r>
    </w:p>
    <w:p w14:paraId="76FC032D" w14:textId="77777777" w:rsidR="00130E68" w:rsidRDefault="00130E68" w:rsidP="00130E68">
      <w:pPr>
        <w:jc w:val="center"/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91"/>
      </w:tblGrid>
      <w:tr w:rsidR="00130E68" w14:paraId="6254CD6A" w14:textId="77777777" w:rsidTr="00DF2A7B">
        <w:tc>
          <w:tcPr>
            <w:tcW w:w="2093" w:type="dxa"/>
          </w:tcPr>
          <w:p w14:paraId="3D12CA9C" w14:textId="77777777" w:rsidR="00130E68" w:rsidRDefault="00130E68" w:rsidP="00DF2A7B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7391" w:type="dxa"/>
          </w:tcPr>
          <w:p w14:paraId="14F3A6DB" w14:textId="77777777" w:rsidR="00130E68" w:rsidRDefault="00130E68" w:rsidP="00DF2A7B">
            <w:pPr>
              <w:jc w:val="center"/>
              <w:rPr>
                <w:b/>
              </w:rPr>
            </w:pPr>
            <w:r>
              <w:rPr>
                <w:b/>
              </w:rPr>
              <w:t>Informācija</w:t>
            </w:r>
          </w:p>
        </w:tc>
      </w:tr>
      <w:tr w:rsidR="00130E68" w14:paraId="54FE1F72" w14:textId="77777777" w:rsidTr="00DF2A7B">
        <w:trPr>
          <w:trHeight w:val="1245"/>
        </w:trPr>
        <w:tc>
          <w:tcPr>
            <w:tcW w:w="2093" w:type="dxa"/>
          </w:tcPr>
          <w:p w14:paraId="6A593BA3" w14:textId="77777777" w:rsidR="00130E68" w:rsidRDefault="00130E68" w:rsidP="00DF2A7B">
            <w:r w:rsidRPr="00337EA3">
              <w:rPr>
                <w:rFonts w:eastAsia="Calibri"/>
                <w:lang w:eastAsia="en-US"/>
              </w:rPr>
              <w:t>1. Mērķis un nepieciešamības pamatojums</w:t>
            </w:r>
          </w:p>
        </w:tc>
        <w:tc>
          <w:tcPr>
            <w:tcW w:w="7391" w:type="dxa"/>
          </w:tcPr>
          <w:p w14:paraId="7C51DE23" w14:textId="77777777" w:rsidR="00130E68" w:rsidRPr="00E669D3" w:rsidRDefault="00130E68" w:rsidP="00DF2A7B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337EA3">
              <w:t xml:space="preserve">Pamatojoties uz Pašvaldību likuma  </w:t>
            </w:r>
            <w:r>
              <w:t xml:space="preserve">44.panta otro </w:t>
            </w:r>
            <w:r w:rsidRPr="00337EA3">
              <w:t xml:space="preserve">daļu, kas noteic, ka </w:t>
            </w:r>
            <w:r>
              <w:t>d</w:t>
            </w:r>
            <w:r w:rsidRPr="00A04AF0">
              <w:t>ome var izdot saistošos noteikumus, lai nodrošinātu pašvaldības autonomo funkciju un brīvprātīgo iniciatīvu izpildi, ievērojot likumos vai Ministru kabineta noteikumos pare</w:t>
            </w:r>
            <w:r>
              <w:t xml:space="preserve">dzēto funkciju izpildes kārtību </w:t>
            </w:r>
            <w:r w:rsidRPr="00162827">
              <w:t>un Publisko aģentūru likuma 17.panta otro un ceturto daļu, kas noteic, ka</w:t>
            </w:r>
            <w:r>
              <w:t xml:space="preserve"> </w:t>
            </w:r>
            <w:r w:rsidRPr="00162827">
              <w:t>p</w:t>
            </w:r>
            <w:r w:rsidRPr="007036E3">
              <w:rPr>
                <w:shd w:val="clear" w:color="auto" w:fill="FFFFFF"/>
              </w:rPr>
              <w:t xml:space="preserve">ašvaldības uzdevumu īstenošana tiek nodrošināta, sniedzot maksas pakalpojumus saskaņā ar pašvaldības domes apstiprinātu cenrādi, kurā nosaka maksāšanas kārtību, likmes un atvieglojumu, un </w:t>
            </w:r>
            <w:r>
              <w:rPr>
                <w:shd w:val="clear" w:color="auto" w:fill="FFFFFF"/>
              </w:rPr>
              <w:t xml:space="preserve">kuru </w:t>
            </w:r>
            <w:r w:rsidRPr="007036E3">
              <w:rPr>
                <w:shd w:val="clear" w:color="auto" w:fill="FFFFFF"/>
              </w:rPr>
              <w:t>apstiprina ar pašvaldības saistošajiem noteikumiem,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>
              <w:t>noteikta maksa par Aģentūras sniegtajiem pakalpojumiem. Saistošo noteikumu mērķis – nodrošināt sabiedrības vajadzības Aģentūras apsaimniekotajās pašvaldības piederošajās teritorijās</w:t>
            </w:r>
          </w:p>
          <w:p w14:paraId="6BC3E391" w14:textId="77777777" w:rsidR="00130E68" w:rsidRPr="00FB0E64" w:rsidRDefault="00130E68" w:rsidP="00DF2A7B">
            <w:pPr>
              <w:jc w:val="both"/>
              <w:rPr>
                <w:sz w:val="16"/>
                <w:szCs w:val="16"/>
              </w:rPr>
            </w:pPr>
          </w:p>
        </w:tc>
      </w:tr>
      <w:tr w:rsidR="00130E68" w14:paraId="7338E3DD" w14:textId="77777777" w:rsidTr="00DF2A7B">
        <w:tc>
          <w:tcPr>
            <w:tcW w:w="2093" w:type="dxa"/>
          </w:tcPr>
          <w:p w14:paraId="3409364D" w14:textId="77777777" w:rsidR="00130E68" w:rsidRDefault="00130E68" w:rsidP="00DF2A7B">
            <w:r w:rsidRPr="00337EA3">
              <w:rPr>
                <w:rFonts w:eastAsia="Calibri"/>
                <w:lang w:eastAsia="en-US"/>
              </w:rPr>
              <w:t>2. Fiskālā ietekme uz pašvaldības budžetu</w:t>
            </w:r>
          </w:p>
          <w:p w14:paraId="6074F24D" w14:textId="77777777" w:rsidR="00130E68" w:rsidRDefault="00130E68" w:rsidP="00DF2A7B"/>
          <w:p w14:paraId="01805502" w14:textId="77777777" w:rsidR="00130E68" w:rsidRDefault="00130E68" w:rsidP="00DF2A7B"/>
        </w:tc>
        <w:tc>
          <w:tcPr>
            <w:tcW w:w="7391" w:type="dxa"/>
          </w:tcPr>
          <w:p w14:paraId="3349E9D2" w14:textId="77777777" w:rsidR="00130E68" w:rsidRDefault="00130E68" w:rsidP="00DF2A7B">
            <w:pPr>
              <w:jc w:val="both"/>
            </w:pPr>
            <w:r>
              <w:t>2.1. S</w:t>
            </w:r>
            <w:r w:rsidRPr="00957DAB">
              <w:t>aistošo noteikumu īstenošanas fiskālās ietekmes prognoze uz pašvaldības budžetu</w:t>
            </w:r>
            <w:r>
              <w:t>:</w:t>
            </w:r>
          </w:p>
          <w:p w14:paraId="359BEAB1" w14:textId="77777777" w:rsidR="00130E68" w:rsidRPr="003C3D7D" w:rsidRDefault="00130E68" w:rsidP="00DF2A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2.1.1. </w:t>
            </w:r>
            <w:r w:rsidRPr="003C3D7D">
              <w:rPr>
                <w:rFonts w:eastAsia="Calibri"/>
                <w:lang w:eastAsia="en-US"/>
              </w:rPr>
              <w:t>plānotie budžeta ieņēmumi palielināsies</w:t>
            </w:r>
            <w:r>
              <w:t xml:space="preserve"> par</w:t>
            </w:r>
            <w:r w:rsidRPr="003C3D7D">
              <w:rPr>
                <w:rFonts w:eastAsia="Calibri"/>
                <w:lang w:eastAsia="en-US"/>
              </w:rPr>
              <w:t xml:space="preserve"> ~ 2000 EUR gadā;</w:t>
            </w:r>
          </w:p>
          <w:p w14:paraId="39875FA1" w14:textId="77777777" w:rsidR="00130E68" w:rsidRPr="003C3D7D" w:rsidRDefault="00130E68" w:rsidP="00DF2A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2.1.2. </w:t>
            </w:r>
            <w:r w:rsidRPr="003C3D7D">
              <w:rPr>
                <w:rFonts w:eastAsia="Calibri"/>
                <w:lang w:eastAsia="en-US"/>
              </w:rPr>
              <w:t xml:space="preserve">publiskās tualetes maksas atvieglojums sastādīs ~ 6000 EUR gadā. </w:t>
            </w:r>
          </w:p>
          <w:p w14:paraId="196C850C" w14:textId="77777777" w:rsidR="00130E68" w:rsidRPr="00C63FAA" w:rsidRDefault="00130E68" w:rsidP="00DF2A7B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lang w:eastAsia="en-US"/>
              </w:rPr>
              <w:t xml:space="preserve">2.2. </w:t>
            </w:r>
            <w:r w:rsidRPr="00A04AF0">
              <w:rPr>
                <w:rFonts w:eastAsia="Calibri"/>
                <w:lang w:eastAsia="en-US"/>
              </w:rPr>
              <w:t xml:space="preserve">Pašvaldības </w:t>
            </w:r>
            <w:r>
              <w:rPr>
                <w:rFonts w:eastAsia="Calibri"/>
                <w:lang w:eastAsia="en-US"/>
              </w:rPr>
              <w:t>budžetā iekasētos</w:t>
            </w:r>
            <w:r w:rsidRPr="00A04A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līdzekļus paredzēts izmantot </w:t>
            </w:r>
            <w:r w:rsidRPr="00A04AF0">
              <w:rPr>
                <w:rFonts w:eastAsia="Calibri"/>
                <w:lang w:eastAsia="en-US"/>
              </w:rPr>
              <w:t>attiecīgās infrastruktūras uzturēšanai.</w:t>
            </w:r>
          </w:p>
        </w:tc>
      </w:tr>
      <w:tr w:rsidR="00130E68" w14:paraId="058CABAA" w14:textId="77777777" w:rsidTr="00DF2A7B">
        <w:tc>
          <w:tcPr>
            <w:tcW w:w="2093" w:type="dxa"/>
          </w:tcPr>
          <w:p w14:paraId="688A9290" w14:textId="77777777" w:rsidR="00130E68" w:rsidRDefault="00130E68" w:rsidP="00DF2A7B">
            <w:pPr>
              <w:spacing w:line="276" w:lineRule="auto"/>
            </w:pPr>
            <w:r w:rsidRPr="00337EA3">
              <w:rPr>
                <w:rFonts w:eastAsia="Calibri"/>
                <w:lang w:eastAsia="en-US"/>
              </w:rPr>
              <w:lastRenderedPageBreak/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7391" w:type="dxa"/>
          </w:tcPr>
          <w:p w14:paraId="27259321" w14:textId="77777777" w:rsidR="00130E68" w:rsidRPr="00337EA3" w:rsidRDefault="00130E68" w:rsidP="00DF2A7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3.1. </w:t>
            </w:r>
            <w:r w:rsidRPr="00337EA3">
              <w:rPr>
                <w:rFonts w:eastAsia="Calibri"/>
                <w:lang w:eastAsia="en-US"/>
              </w:rPr>
              <w:t xml:space="preserve">Saistošo noteikumu īstenošana: </w:t>
            </w:r>
          </w:p>
          <w:p w14:paraId="678A1348" w14:textId="77777777" w:rsidR="00130E68" w:rsidRPr="007036E3" w:rsidRDefault="00130E68" w:rsidP="00DF2A7B">
            <w:pPr>
              <w:widowControl w:val="0"/>
              <w:ind w:right="102"/>
              <w:contextualSpacing/>
              <w:jc w:val="both"/>
              <w:textAlignment w:val="baseline"/>
              <w:rPr>
                <w:bCs/>
              </w:rPr>
            </w:pPr>
            <w:r>
              <w:t xml:space="preserve">3.1.1. sociālā ietekme – nodrošinās fiziskām un juridiskām personām </w:t>
            </w:r>
            <w:r w:rsidRPr="00AA07D4">
              <w:t>nepieciešamo pakalpojumu pieejamību Alūksnes novadā, tādējādi radot vienlīdzīgas tiesības un iespējas saņemt</w:t>
            </w:r>
            <w:r>
              <w:t xml:space="preserve"> kvalitatīvu pakalpojumu novadā;</w:t>
            </w:r>
          </w:p>
          <w:p w14:paraId="37129722" w14:textId="77777777" w:rsidR="00130E68" w:rsidRDefault="00130E68" w:rsidP="00DF2A7B">
            <w:pPr>
              <w:widowControl w:val="0"/>
              <w:ind w:right="102"/>
              <w:contextualSpacing/>
              <w:jc w:val="both"/>
              <w:textAlignment w:val="baseline"/>
              <w:rPr>
                <w:bCs/>
              </w:rPr>
            </w:pPr>
            <w:r>
              <w:t xml:space="preserve">3.1.2. </w:t>
            </w:r>
            <w:r w:rsidRPr="00DB6A3C">
              <w:t xml:space="preserve">ietekme uz vidi </w:t>
            </w:r>
            <w:r>
              <w:t xml:space="preserve">- </w:t>
            </w:r>
            <w:r w:rsidRPr="00337EA3">
              <w:rPr>
                <w:rFonts w:eastAsia="Calibri"/>
                <w:lang w:eastAsia="en-US"/>
              </w:rPr>
              <w:t>neizraisīs tiešas vai netiešas pārmaiņas vidē</w:t>
            </w:r>
            <w:r>
              <w:t>;</w:t>
            </w:r>
          </w:p>
          <w:p w14:paraId="5F3CD55B" w14:textId="77777777" w:rsidR="00130E68" w:rsidRPr="005625AD" w:rsidRDefault="00130E68" w:rsidP="00DF2A7B">
            <w:pPr>
              <w:widowControl w:val="0"/>
              <w:ind w:right="102"/>
              <w:contextualSpacing/>
              <w:jc w:val="both"/>
              <w:textAlignment w:val="baseline"/>
              <w:rPr>
                <w:bCs/>
              </w:rPr>
            </w:pPr>
            <w:r>
              <w:t>3.1.3. ietekme uz iedzīvotāju veselību – rekreācijas teritoriju pieejamība veicinās fiziski aktīva</w:t>
            </w:r>
            <w:r w:rsidRPr="00DB6A3C">
              <w:t xml:space="preserve"> dzīvesveida popularizēšan</w:t>
            </w:r>
            <w:r>
              <w:t>u (cenrādī pakalpojumi 22-26 pozīcijās);</w:t>
            </w:r>
          </w:p>
          <w:p w14:paraId="3BD1F460" w14:textId="77777777" w:rsidR="00130E68" w:rsidRPr="00C56613" w:rsidRDefault="00130E68" w:rsidP="00DF2A7B">
            <w:pPr>
              <w:jc w:val="both"/>
              <w:rPr>
                <w:bCs/>
              </w:rPr>
            </w:pPr>
            <w:r>
              <w:t xml:space="preserve">3.1.4. ietekme uz </w:t>
            </w:r>
            <w:r w:rsidRPr="005625AD">
              <w:rPr>
                <w:rFonts w:eastAsia="Calibri"/>
                <w:lang w:eastAsia="en-US"/>
              </w:rPr>
              <w:t>uzņēmējdarbības vidi pašvaldības teritorijā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t>palielinot rekreācijas teritoriju izmantošanas iespējas dažādu aktivitāšu norisēm (cenrādī pakalpojumi 11-13, 22-26 pozīcijās), plānots, ka  palielināsies pilsētas apmeklētāju skaits pozitīvi ietekmējot noteiktu uzņēmējdarbības veidu attīstību;</w:t>
            </w:r>
          </w:p>
          <w:p w14:paraId="0098EB6F" w14:textId="77777777" w:rsidR="00130E68" w:rsidRPr="00B26756" w:rsidRDefault="00130E68" w:rsidP="00DF2A7B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3.1.5. </w:t>
            </w:r>
            <w:r w:rsidRPr="00446D03">
              <w:rPr>
                <w:rFonts w:eastAsia="Calibri"/>
                <w:lang w:eastAsia="en-US"/>
              </w:rPr>
              <w:t>plānotā regulējuma ietekme uz konkurenci</w:t>
            </w:r>
            <w:r>
              <w:t xml:space="preserve"> - n</w:t>
            </w:r>
            <w:r w:rsidRPr="005625AD">
              <w:t>av ietekmes</w:t>
            </w:r>
            <w:r>
              <w:t xml:space="preserve"> uz </w:t>
            </w:r>
            <w:r w:rsidRPr="005625AD">
              <w:t>konkurenci</w:t>
            </w:r>
            <w:r>
              <w:t xml:space="preserve"> pašvaldības teritorijā</w:t>
            </w:r>
            <w:r w:rsidRPr="00446D03">
              <w:rPr>
                <w:rFonts w:eastAsia="Calibri"/>
                <w:lang w:eastAsia="en-US"/>
              </w:rPr>
              <w:t>.</w:t>
            </w:r>
          </w:p>
        </w:tc>
      </w:tr>
      <w:tr w:rsidR="00130E68" w14:paraId="18CB0C57" w14:textId="77777777" w:rsidTr="00DF2A7B">
        <w:tc>
          <w:tcPr>
            <w:tcW w:w="2093" w:type="dxa"/>
          </w:tcPr>
          <w:p w14:paraId="00A23DED" w14:textId="77777777" w:rsidR="00130E68" w:rsidRDefault="00130E68" w:rsidP="00DF2A7B">
            <w:pPr>
              <w:spacing w:line="276" w:lineRule="auto"/>
            </w:pPr>
            <w:r w:rsidRPr="00337EA3">
              <w:rPr>
                <w:rFonts w:eastAsia="Calibri"/>
                <w:lang w:eastAsia="en-US"/>
              </w:rPr>
              <w:t>4. Ietekme uz administratīvajām procedūrām un to izmaksām</w:t>
            </w:r>
          </w:p>
        </w:tc>
        <w:tc>
          <w:tcPr>
            <w:tcW w:w="7391" w:type="dxa"/>
          </w:tcPr>
          <w:p w14:paraId="6B2E6FAA" w14:textId="77777777" w:rsidR="00130E68" w:rsidRPr="00B57461" w:rsidRDefault="00130E68" w:rsidP="00DF2A7B">
            <w:pPr>
              <w:jc w:val="both"/>
              <w:rPr>
                <w:sz w:val="16"/>
                <w:szCs w:val="16"/>
              </w:rPr>
            </w:pPr>
            <w:r w:rsidRPr="00B57461">
              <w:rPr>
                <w:rFonts w:eastAsia="Calibri"/>
                <w:lang w:eastAsia="en-US"/>
              </w:rPr>
              <w:t>Institūcija, kurā fiziska vai juridiska persona var vērsties saistošo noteikumu piemērošanā, ir Aģentūra.</w:t>
            </w:r>
          </w:p>
          <w:p w14:paraId="6F7EC106" w14:textId="77777777" w:rsidR="00130E68" w:rsidRPr="00C63FAA" w:rsidRDefault="00130E68" w:rsidP="00DF2A7B">
            <w:pPr>
              <w:jc w:val="both"/>
              <w:rPr>
                <w:sz w:val="16"/>
                <w:szCs w:val="16"/>
              </w:rPr>
            </w:pPr>
          </w:p>
          <w:p w14:paraId="6CBFE542" w14:textId="77777777" w:rsidR="00130E68" w:rsidRPr="00C63FAA" w:rsidRDefault="00130E68" w:rsidP="00DF2A7B">
            <w:pPr>
              <w:ind w:firstLine="319"/>
              <w:jc w:val="both"/>
            </w:pPr>
          </w:p>
        </w:tc>
      </w:tr>
      <w:tr w:rsidR="00130E68" w14:paraId="2FAE5901" w14:textId="77777777" w:rsidTr="00DF2A7B">
        <w:tc>
          <w:tcPr>
            <w:tcW w:w="2093" w:type="dxa"/>
          </w:tcPr>
          <w:p w14:paraId="40A526B8" w14:textId="77777777" w:rsidR="00130E68" w:rsidRDefault="00130E68" w:rsidP="00DF2A7B">
            <w:pPr>
              <w:spacing w:before="120" w:after="120"/>
            </w:pPr>
            <w:r w:rsidRPr="00337EA3">
              <w:rPr>
                <w:rFonts w:eastAsia="Calibri"/>
                <w:lang w:eastAsia="en-US"/>
              </w:rPr>
              <w:t>5. Ietekme uz pašvaldības funkcijām un cilvēkresursiem</w:t>
            </w:r>
          </w:p>
          <w:p w14:paraId="1ACB34C4" w14:textId="77777777" w:rsidR="00130E68" w:rsidRDefault="00130E68" w:rsidP="00DF2A7B">
            <w:pPr>
              <w:spacing w:before="120" w:after="120"/>
            </w:pPr>
          </w:p>
        </w:tc>
        <w:tc>
          <w:tcPr>
            <w:tcW w:w="7391" w:type="dxa"/>
          </w:tcPr>
          <w:p w14:paraId="00B40778" w14:textId="77777777" w:rsidR="00130E68" w:rsidRDefault="00130E68" w:rsidP="00DF2A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Saistošie noteikumi nosaka Aģentūras</w:t>
            </w:r>
            <w:r w:rsidRPr="00744D18">
              <w:rPr>
                <w:rFonts w:eastAsia="Calibri"/>
                <w:lang w:eastAsia="en-US"/>
              </w:rPr>
              <w:t xml:space="preserve"> sniegto pakalpojumu saturu un apjomu</w:t>
            </w:r>
            <w:r>
              <w:rPr>
                <w:rFonts w:eastAsia="Calibri"/>
                <w:lang w:eastAsia="en-US"/>
              </w:rPr>
              <w:t>.</w:t>
            </w:r>
          </w:p>
          <w:p w14:paraId="158F25EB" w14:textId="77777777" w:rsidR="00130E68" w:rsidRPr="00B57461" w:rsidRDefault="00130E68" w:rsidP="00DF2A7B">
            <w:pPr>
              <w:spacing w:before="120"/>
              <w:jc w:val="both"/>
              <w:rPr>
                <w:rFonts w:eastAsia="Calibri"/>
                <w:lang w:eastAsia="en-US"/>
              </w:rPr>
            </w:pPr>
            <w:r w:rsidRPr="00337EA3">
              <w:rPr>
                <w:rFonts w:eastAsia="Calibri"/>
                <w:lang w:eastAsia="en-US"/>
              </w:rPr>
              <w:t>Saistošie noteikumi ir izstrādāti, lai realizētu pašvaldība</w:t>
            </w:r>
            <w:r>
              <w:rPr>
                <w:rFonts w:eastAsia="Calibri"/>
                <w:lang w:eastAsia="en-US"/>
              </w:rPr>
              <w:t xml:space="preserve">i piederošajās administratīvajās teritorijās apsaimniekošanas funkcijas, bet ne tikai rekreācijas procesu </w:t>
            </w:r>
            <w:r w:rsidRPr="00337EA3">
              <w:rPr>
                <w:rFonts w:eastAsia="Calibri"/>
                <w:lang w:eastAsia="en-US"/>
              </w:rPr>
              <w:t>nodrošināšanā. Saistošo noteikumu īstenošanu nodrošinās</w:t>
            </w:r>
            <w:r>
              <w:rPr>
                <w:rFonts w:eastAsia="Calibri"/>
                <w:lang w:eastAsia="en-US"/>
              </w:rPr>
              <w:t xml:space="preserve"> Aģentūra</w:t>
            </w:r>
            <w:r w:rsidRPr="00337EA3">
              <w:rPr>
                <w:rFonts w:eastAsia="Calibri"/>
                <w:lang w:eastAsia="en-US"/>
              </w:rPr>
              <w:t>.</w:t>
            </w:r>
          </w:p>
        </w:tc>
      </w:tr>
      <w:tr w:rsidR="00130E68" w14:paraId="32A528E6" w14:textId="77777777" w:rsidTr="00DF2A7B">
        <w:tc>
          <w:tcPr>
            <w:tcW w:w="2093" w:type="dxa"/>
          </w:tcPr>
          <w:p w14:paraId="4E9935EB" w14:textId="77777777" w:rsidR="00130E68" w:rsidRDefault="00130E68" w:rsidP="00DF2A7B">
            <w:pPr>
              <w:spacing w:before="120" w:after="120"/>
            </w:pPr>
            <w:r w:rsidRPr="00337EA3">
              <w:rPr>
                <w:rFonts w:eastAsia="Calibri"/>
                <w:lang w:eastAsia="en-US"/>
              </w:rPr>
              <w:t>6. Informācija par izpildes nodrošināšanu</w:t>
            </w:r>
          </w:p>
        </w:tc>
        <w:tc>
          <w:tcPr>
            <w:tcW w:w="7391" w:type="dxa"/>
          </w:tcPr>
          <w:p w14:paraId="66B6638E" w14:textId="77777777" w:rsidR="00130E68" w:rsidRPr="00C63FAA" w:rsidRDefault="00130E68" w:rsidP="00DF2A7B">
            <w:pPr>
              <w:jc w:val="both"/>
              <w:rPr>
                <w:sz w:val="16"/>
                <w:szCs w:val="16"/>
              </w:rPr>
            </w:pPr>
          </w:p>
          <w:p w14:paraId="7E162562" w14:textId="77777777" w:rsidR="00130E68" w:rsidRPr="00C63FAA" w:rsidRDefault="00130E68" w:rsidP="00DF2A7B">
            <w:pPr>
              <w:jc w:val="both"/>
            </w:pPr>
            <w:r w:rsidRPr="00337EA3">
              <w:rPr>
                <w:rFonts w:eastAsia="Calibri"/>
                <w:lang w:eastAsia="en-US"/>
              </w:rPr>
              <w:t>Saistošo noteikumu izpildē tik</w:t>
            </w:r>
            <w:r>
              <w:rPr>
                <w:rFonts w:eastAsia="Calibri"/>
                <w:lang w:eastAsia="en-US"/>
              </w:rPr>
              <w:t>s iesaistīta Aģentūra</w:t>
            </w:r>
            <w:r w:rsidRPr="00337EA3">
              <w:rPr>
                <w:rFonts w:eastAsia="Calibri"/>
                <w:lang w:eastAsia="en-US"/>
              </w:rPr>
              <w:t>. Izpildes nodrošināšanai ir nepieciešamie resursi.</w:t>
            </w:r>
          </w:p>
        </w:tc>
      </w:tr>
      <w:tr w:rsidR="00130E68" w14:paraId="594A0F69" w14:textId="77777777" w:rsidTr="00DF2A7B">
        <w:tc>
          <w:tcPr>
            <w:tcW w:w="2093" w:type="dxa"/>
          </w:tcPr>
          <w:p w14:paraId="051EC29F" w14:textId="77777777" w:rsidR="00130E68" w:rsidRDefault="00130E68" w:rsidP="00DF2A7B">
            <w:pPr>
              <w:spacing w:before="120" w:after="120"/>
            </w:pPr>
            <w:r w:rsidRPr="00337EA3">
              <w:rPr>
                <w:rFonts w:eastAsia="Calibri"/>
                <w:lang w:eastAsia="en-US"/>
              </w:rPr>
              <w:t>7. Prasību un izmaksu samērīgums pret ieguvumiem, ko sniedz mērķa sasniegšana</w:t>
            </w:r>
          </w:p>
        </w:tc>
        <w:tc>
          <w:tcPr>
            <w:tcW w:w="7391" w:type="dxa"/>
          </w:tcPr>
          <w:p w14:paraId="081CF0AF" w14:textId="77777777" w:rsidR="00130E68" w:rsidRPr="00C63FAA" w:rsidRDefault="00130E68" w:rsidP="00DF2A7B">
            <w:pPr>
              <w:jc w:val="both"/>
              <w:rPr>
                <w:sz w:val="16"/>
                <w:szCs w:val="16"/>
              </w:rPr>
            </w:pPr>
            <w:r w:rsidRPr="00337EA3">
              <w:rPr>
                <w:rFonts w:eastAsia="Calibri"/>
                <w:lang w:eastAsia="en-US"/>
              </w:rPr>
              <w:t xml:space="preserve">Saistošie noteikumi </w:t>
            </w:r>
            <w:r>
              <w:rPr>
                <w:rFonts w:eastAsia="Calibri"/>
                <w:lang w:eastAsia="en-US"/>
              </w:rPr>
              <w:t xml:space="preserve">ir izstrādāti, lai </w:t>
            </w:r>
            <w:r>
              <w:t xml:space="preserve">noteiktu pakalpojumus, ko Aģentūra sniedz fiziskām un juridiskām personām, nodrošinot sabiedrības vajadzības Aģentūras </w:t>
            </w:r>
            <w:r w:rsidRPr="00B57461">
              <w:t xml:space="preserve">apsaimniekotajās pašvaldībai piederošajās teritorijās </w:t>
            </w:r>
            <w:r>
              <w:t>Alūksnes novada administratīvajā teritorijā.</w:t>
            </w:r>
          </w:p>
        </w:tc>
      </w:tr>
      <w:tr w:rsidR="00130E68" w14:paraId="30C7EFF4" w14:textId="77777777" w:rsidTr="00DF2A7B">
        <w:tc>
          <w:tcPr>
            <w:tcW w:w="2093" w:type="dxa"/>
          </w:tcPr>
          <w:p w14:paraId="093E24EF" w14:textId="77777777" w:rsidR="00130E68" w:rsidRPr="00337EA3" w:rsidRDefault="00130E68" w:rsidP="00DF2A7B">
            <w:pPr>
              <w:spacing w:before="120" w:after="120"/>
              <w:rPr>
                <w:rFonts w:eastAsia="Calibri"/>
                <w:lang w:eastAsia="en-US"/>
              </w:rPr>
            </w:pPr>
            <w:r w:rsidRPr="00337EA3">
              <w:rPr>
                <w:rFonts w:eastAsia="Calibri"/>
                <w:lang w:eastAsia="en-US"/>
              </w:rPr>
              <w:t>8. Izstrādes gaitā veiktās konsultācijas ar privātpersonām un institūcijām</w:t>
            </w:r>
          </w:p>
        </w:tc>
        <w:tc>
          <w:tcPr>
            <w:tcW w:w="7391" w:type="dxa"/>
          </w:tcPr>
          <w:p w14:paraId="301BACFB" w14:textId="77777777" w:rsidR="00130E68" w:rsidRPr="00337EA3" w:rsidRDefault="00130E68" w:rsidP="00DF2A7B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337EA3">
              <w:rPr>
                <w:rFonts w:eastAsia="Calibri"/>
                <w:lang w:eastAsia="en-US"/>
              </w:rPr>
              <w:t>Saistošo noteikumu</w:t>
            </w:r>
            <w:r>
              <w:rPr>
                <w:rFonts w:eastAsia="Calibri"/>
                <w:lang w:eastAsia="en-US"/>
              </w:rPr>
              <w:t xml:space="preserve"> projekts un paskaidrojuma raksts sabiedrības viedokļa noskaidrošanai </w:t>
            </w:r>
            <w:r w:rsidRPr="00614988">
              <w:rPr>
                <w:rFonts w:eastAsia="Calibri"/>
                <w:lang w:eastAsia="en-US"/>
              </w:rPr>
              <w:t xml:space="preserve">no </w:t>
            </w:r>
            <w:r>
              <w:rPr>
                <w:rFonts w:eastAsia="Calibri"/>
                <w:lang w:eastAsia="en-US"/>
              </w:rPr>
              <w:t>02.05</w:t>
            </w:r>
            <w:r w:rsidRPr="00614988">
              <w:rPr>
                <w:rFonts w:eastAsia="Calibri"/>
                <w:lang w:eastAsia="en-US"/>
              </w:rPr>
              <w:t xml:space="preserve">.2023. līdz </w:t>
            </w:r>
            <w:r>
              <w:rPr>
                <w:rFonts w:eastAsia="Calibri"/>
                <w:lang w:eastAsia="en-US"/>
              </w:rPr>
              <w:t>15</w:t>
            </w:r>
            <w:r w:rsidRPr="00614988">
              <w:rPr>
                <w:rFonts w:eastAsia="Calibri"/>
                <w:lang w:eastAsia="en-US"/>
              </w:rPr>
              <w:t xml:space="preserve">.05.2023. publicēts pašvaldības oficiālajā tīmekļvietnē </w:t>
            </w:r>
            <w:proofErr w:type="spellStart"/>
            <w:r w:rsidRPr="00614988">
              <w:rPr>
                <w:rFonts w:eastAsia="Calibri"/>
                <w:lang w:eastAsia="en-US"/>
              </w:rPr>
              <w:t>www.aluksne.lv</w:t>
            </w:r>
            <w:proofErr w:type="spellEnd"/>
            <w:r w:rsidRPr="00614988">
              <w:rPr>
                <w:rFonts w:eastAsia="Calibri"/>
                <w:lang w:eastAsia="en-US"/>
              </w:rPr>
              <w:t xml:space="preserve"> sadaļā Sabiedrība/Sabiedrības līdzdalība/Viedokļa izteikšana par saistošo noteikumu projektiem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130E68" w14:paraId="0EAAD269" w14:textId="77777777" w:rsidTr="00DF2A7B">
        <w:tc>
          <w:tcPr>
            <w:tcW w:w="2093" w:type="dxa"/>
          </w:tcPr>
          <w:p w14:paraId="014D2428" w14:textId="77777777" w:rsidR="00130E68" w:rsidRPr="00337EA3" w:rsidRDefault="00130E68" w:rsidP="00DF2A7B">
            <w:pPr>
              <w:spacing w:before="120" w:after="120"/>
              <w:rPr>
                <w:rFonts w:eastAsia="Calibri"/>
                <w:lang w:eastAsia="en-US"/>
              </w:rPr>
            </w:pPr>
            <w:r w:rsidRPr="00614988">
              <w:rPr>
                <w:rFonts w:eastAsia="Calibri"/>
                <w:lang w:eastAsia="en-US"/>
              </w:rPr>
              <w:t>9.</w:t>
            </w:r>
            <w:r>
              <w:rPr>
                <w:rFonts w:eastAsia="Calibri"/>
                <w:lang w:eastAsia="en-US"/>
              </w:rPr>
              <w:t> </w:t>
            </w:r>
            <w:r w:rsidRPr="00614988">
              <w:rPr>
                <w:rFonts w:eastAsia="Calibri"/>
                <w:lang w:eastAsia="en-US"/>
              </w:rPr>
              <w:t>Informācija par sabiedrības izteiktajiem viedokļiem par saistošo noteikumu projektu</w:t>
            </w:r>
          </w:p>
        </w:tc>
        <w:tc>
          <w:tcPr>
            <w:tcW w:w="7391" w:type="dxa"/>
          </w:tcPr>
          <w:p w14:paraId="0770D512" w14:textId="77777777" w:rsidR="00130E68" w:rsidRPr="00337EA3" w:rsidRDefault="00130E68" w:rsidP="00DF2A7B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614988">
              <w:rPr>
                <w:rFonts w:eastAsia="Calibri"/>
                <w:lang w:eastAsia="en-US"/>
              </w:rPr>
              <w:t>abiedrības viedoklis par saistošo noteikumu projektu un to paskaidrojuma rakstu nav saņemts.</w:t>
            </w:r>
          </w:p>
        </w:tc>
      </w:tr>
      <w:bookmarkEnd w:id="0"/>
    </w:tbl>
    <w:p w14:paraId="1E4D74F5" w14:textId="77777777" w:rsidR="00A86D24" w:rsidRDefault="00A86D24" w:rsidP="00A86D24"/>
    <w:sectPr w:rsidR="00A86D24" w:rsidSect="00205F0A"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222"/>
    <w:multiLevelType w:val="hybridMultilevel"/>
    <w:tmpl w:val="DF9281F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871"/>
    <w:multiLevelType w:val="multilevel"/>
    <w:tmpl w:val="998401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1E0C5A83"/>
    <w:multiLevelType w:val="hybridMultilevel"/>
    <w:tmpl w:val="D2D84B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0AAB"/>
    <w:multiLevelType w:val="hybridMultilevel"/>
    <w:tmpl w:val="5EC63D66"/>
    <w:lvl w:ilvl="0" w:tplc="56767F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B8C"/>
    <w:multiLevelType w:val="hybridMultilevel"/>
    <w:tmpl w:val="7C764B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950"/>
    <w:multiLevelType w:val="hybridMultilevel"/>
    <w:tmpl w:val="4F0AABD6"/>
    <w:lvl w:ilvl="0" w:tplc="43C43442">
      <w:start w:val="22"/>
      <w:numFmt w:val="bullet"/>
      <w:lvlText w:val=""/>
      <w:lvlJc w:val="left"/>
      <w:pPr>
        <w:ind w:left="180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9278AC"/>
    <w:multiLevelType w:val="multilevel"/>
    <w:tmpl w:val="AFD63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9602197"/>
    <w:multiLevelType w:val="hybridMultilevel"/>
    <w:tmpl w:val="786C52D0"/>
    <w:lvl w:ilvl="0" w:tplc="56767F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22695">
    <w:abstractNumId w:val="7"/>
  </w:num>
  <w:num w:numId="2" w16cid:durableId="569536459">
    <w:abstractNumId w:val="1"/>
  </w:num>
  <w:num w:numId="3" w16cid:durableId="702441975">
    <w:abstractNumId w:val="5"/>
  </w:num>
  <w:num w:numId="4" w16cid:durableId="490828508">
    <w:abstractNumId w:val="8"/>
  </w:num>
  <w:num w:numId="5" w16cid:durableId="1169910166">
    <w:abstractNumId w:val="9"/>
  </w:num>
  <w:num w:numId="6" w16cid:durableId="1598555711">
    <w:abstractNumId w:val="4"/>
  </w:num>
  <w:num w:numId="7" w16cid:durableId="117964944">
    <w:abstractNumId w:val="2"/>
  </w:num>
  <w:num w:numId="8" w16cid:durableId="4285508">
    <w:abstractNumId w:val="3"/>
  </w:num>
  <w:num w:numId="9" w16cid:durableId="948002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2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24"/>
    <w:rsid w:val="00024754"/>
    <w:rsid w:val="000362F1"/>
    <w:rsid w:val="00057682"/>
    <w:rsid w:val="0010364C"/>
    <w:rsid w:val="0011794D"/>
    <w:rsid w:val="00130E68"/>
    <w:rsid w:val="00133E7D"/>
    <w:rsid w:val="00152BF7"/>
    <w:rsid w:val="00156378"/>
    <w:rsid w:val="00174096"/>
    <w:rsid w:val="00191FCC"/>
    <w:rsid w:val="001A62B5"/>
    <w:rsid w:val="001E6482"/>
    <w:rsid w:val="00205F0A"/>
    <w:rsid w:val="002B1587"/>
    <w:rsid w:val="002D6057"/>
    <w:rsid w:val="00307CDB"/>
    <w:rsid w:val="00375D8D"/>
    <w:rsid w:val="00390936"/>
    <w:rsid w:val="003C3D7D"/>
    <w:rsid w:val="003E1EE7"/>
    <w:rsid w:val="00423FB8"/>
    <w:rsid w:val="00444203"/>
    <w:rsid w:val="00446D03"/>
    <w:rsid w:val="004843D7"/>
    <w:rsid w:val="004A2A07"/>
    <w:rsid w:val="004B01CB"/>
    <w:rsid w:val="004B5F2F"/>
    <w:rsid w:val="00506F0E"/>
    <w:rsid w:val="0051233B"/>
    <w:rsid w:val="0051419C"/>
    <w:rsid w:val="005549C7"/>
    <w:rsid w:val="005652B8"/>
    <w:rsid w:val="00583D84"/>
    <w:rsid w:val="00597F68"/>
    <w:rsid w:val="005B519D"/>
    <w:rsid w:val="00614988"/>
    <w:rsid w:val="00656AD4"/>
    <w:rsid w:val="00674028"/>
    <w:rsid w:val="006B5175"/>
    <w:rsid w:val="00700130"/>
    <w:rsid w:val="007C4448"/>
    <w:rsid w:val="007E16BE"/>
    <w:rsid w:val="007F3D1D"/>
    <w:rsid w:val="00807F34"/>
    <w:rsid w:val="00813FF8"/>
    <w:rsid w:val="008346E9"/>
    <w:rsid w:val="008820EE"/>
    <w:rsid w:val="00890BBE"/>
    <w:rsid w:val="008961E6"/>
    <w:rsid w:val="008E4FCF"/>
    <w:rsid w:val="00952804"/>
    <w:rsid w:val="009743B6"/>
    <w:rsid w:val="00982C5B"/>
    <w:rsid w:val="009B200D"/>
    <w:rsid w:val="009F0C8D"/>
    <w:rsid w:val="00A33CF4"/>
    <w:rsid w:val="00A81962"/>
    <w:rsid w:val="00A86D24"/>
    <w:rsid w:val="00AC3150"/>
    <w:rsid w:val="00AE7FEE"/>
    <w:rsid w:val="00B26756"/>
    <w:rsid w:val="00B43870"/>
    <w:rsid w:val="00B4504B"/>
    <w:rsid w:val="00B57461"/>
    <w:rsid w:val="00B855C1"/>
    <w:rsid w:val="00BC07AE"/>
    <w:rsid w:val="00BC3528"/>
    <w:rsid w:val="00C56613"/>
    <w:rsid w:val="00C95B68"/>
    <w:rsid w:val="00C96178"/>
    <w:rsid w:val="00D579F8"/>
    <w:rsid w:val="00D90D8C"/>
    <w:rsid w:val="00D91703"/>
    <w:rsid w:val="00DB22E3"/>
    <w:rsid w:val="00DE34B1"/>
    <w:rsid w:val="00DF0245"/>
    <w:rsid w:val="00DF0FD9"/>
    <w:rsid w:val="00E31772"/>
    <w:rsid w:val="00E40BD1"/>
    <w:rsid w:val="00E4649E"/>
    <w:rsid w:val="00E47BA1"/>
    <w:rsid w:val="00E669D3"/>
    <w:rsid w:val="00E87084"/>
    <w:rsid w:val="00EB383E"/>
    <w:rsid w:val="00EC0D00"/>
    <w:rsid w:val="00EC761A"/>
    <w:rsid w:val="00F657D3"/>
    <w:rsid w:val="00F852D8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C330D"/>
  <w15:docId w15:val="{54C65C2F-90ED-44F9-97E2-82A74B0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rsid w:val="00A86D24"/>
    <w:pPr>
      <w:suppressAutoHyphens/>
      <w:jc w:val="both"/>
    </w:pPr>
    <w:rPr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86D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D2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D24"/>
    <w:rPr>
      <w:rFonts w:ascii="Tahoma" w:eastAsia="Times New Roman" w:hAnsi="Tahoma" w:cs="Tahoma"/>
      <w:sz w:val="16"/>
      <w:szCs w:val="16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5652B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5652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B01CB"/>
    <w:pPr>
      <w:ind w:left="720"/>
      <w:contextualSpacing/>
    </w:pPr>
  </w:style>
  <w:style w:type="paragraph" w:customStyle="1" w:styleId="tv213">
    <w:name w:val="tv213"/>
    <w:basedOn w:val="Parasts"/>
    <w:rsid w:val="004B01CB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4B01C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E7FEE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DF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3D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3D7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3D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3D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3D7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856C-B407-446C-967D-58C796FD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6150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Everita VIMBA</dc:creator>
  <cp:lastModifiedBy>Everita BALANDE</cp:lastModifiedBy>
  <cp:revision>3</cp:revision>
  <cp:lastPrinted>2023-04-27T13:30:00Z</cp:lastPrinted>
  <dcterms:created xsi:type="dcterms:W3CDTF">2023-05-17T12:02:00Z</dcterms:created>
  <dcterms:modified xsi:type="dcterms:W3CDTF">2023-05-19T06:05:00Z</dcterms:modified>
</cp:coreProperties>
</file>