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FA76" w14:textId="77777777" w:rsidR="00EF079C" w:rsidRDefault="00EF079C" w:rsidP="00EF079C">
      <w:pPr>
        <w:pStyle w:val="Virsraksts2"/>
        <w:spacing w:after="266" w:line="240" w:lineRule="auto"/>
        <w:ind w:left="3515" w:right="0" w:hanging="3328"/>
        <w:contextualSpacing/>
        <w:jc w:val="right"/>
        <w:rPr>
          <w:i/>
          <w:iCs/>
          <w:szCs w:val="24"/>
        </w:rPr>
      </w:pPr>
      <w:r>
        <w:rPr>
          <w:i/>
          <w:iCs/>
          <w:szCs w:val="24"/>
        </w:rPr>
        <w:t xml:space="preserve">LĒMUMA </w:t>
      </w:r>
      <w:r w:rsidRPr="004717F7">
        <w:rPr>
          <w:i/>
          <w:iCs/>
          <w:szCs w:val="24"/>
        </w:rPr>
        <w:t>PROJEKTS</w:t>
      </w:r>
    </w:p>
    <w:p w14:paraId="041E5D68" w14:textId="77777777" w:rsidR="00EF079C" w:rsidRDefault="00EF079C" w:rsidP="00EF079C">
      <w:pPr>
        <w:pStyle w:val="Virsraksts2"/>
        <w:spacing w:after="266" w:line="238" w:lineRule="auto"/>
        <w:ind w:left="3515" w:right="0" w:hanging="3328"/>
        <w:contextualSpacing/>
        <w:rPr>
          <w:b/>
          <w:bCs/>
          <w:szCs w:val="24"/>
        </w:rPr>
      </w:pPr>
    </w:p>
    <w:p w14:paraId="1BF21EC6" w14:textId="77777777" w:rsidR="00EF079C" w:rsidRDefault="00EF079C" w:rsidP="00EF079C">
      <w:pPr>
        <w:pStyle w:val="Virsraksts2"/>
        <w:spacing w:line="240" w:lineRule="auto"/>
        <w:ind w:left="142" w:right="0" w:firstLine="45"/>
        <w:contextualSpacing/>
        <w:rPr>
          <w:b/>
          <w:bCs/>
          <w:szCs w:val="24"/>
        </w:rPr>
      </w:pPr>
      <w:r w:rsidRPr="00DB470B">
        <w:rPr>
          <w:b/>
          <w:bCs/>
          <w:szCs w:val="24"/>
        </w:rPr>
        <w:t xml:space="preserve">Par </w:t>
      </w:r>
      <w:r>
        <w:rPr>
          <w:b/>
          <w:bCs/>
          <w:szCs w:val="24"/>
        </w:rPr>
        <w:t xml:space="preserve">līdzdalības izbeigšanu sabiedrībā ar ierobežotu atbildību </w:t>
      </w:r>
    </w:p>
    <w:p w14:paraId="32934A0D" w14:textId="77777777" w:rsidR="00EF079C" w:rsidRDefault="00EF079C" w:rsidP="00EF079C">
      <w:pPr>
        <w:pStyle w:val="Virsraksts2"/>
        <w:spacing w:line="240" w:lineRule="auto"/>
        <w:ind w:left="142" w:right="0" w:firstLine="45"/>
        <w:contextualSpacing/>
        <w:rPr>
          <w:b/>
          <w:bCs/>
          <w:szCs w:val="24"/>
        </w:rPr>
      </w:pPr>
      <w:r>
        <w:rPr>
          <w:b/>
          <w:bCs/>
          <w:szCs w:val="24"/>
        </w:rPr>
        <w:t>“Alūksnes primārās veselības aprūpes centrs”</w:t>
      </w:r>
    </w:p>
    <w:p w14:paraId="578CB06F" w14:textId="77777777" w:rsidR="00EF079C" w:rsidRPr="008F2772" w:rsidRDefault="00EF079C" w:rsidP="00EF079C"/>
    <w:p w14:paraId="4B5978C0" w14:textId="77777777" w:rsidR="00EF079C" w:rsidRDefault="00EF079C" w:rsidP="00EF079C">
      <w:pPr>
        <w:ind w:right="19" w:firstLine="567"/>
        <w:rPr>
          <w:sz w:val="24"/>
          <w:szCs w:val="24"/>
        </w:rPr>
      </w:pPr>
      <w:r>
        <w:rPr>
          <w:sz w:val="24"/>
          <w:szCs w:val="24"/>
        </w:rPr>
        <w:t xml:space="preserve">Sabiedrībā ar ierobežotu atbildību “Alūksnes primārās veselības aprūpes centrs” (turpmāk – Sabiedrība) </w:t>
      </w:r>
      <w:r w:rsidRPr="00BC162E">
        <w:rPr>
          <w:sz w:val="24"/>
          <w:szCs w:val="24"/>
        </w:rPr>
        <w:t>Alūksnes novada pašvaldībai</w:t>
      </w:r>
      <w:r>
        <w:rPr>
          <w:sz w:val="24"/>
          <w:szCs w:val="24"/>
        </w:rPr>
        <w:t xml:space="preserve"> (turpmāk – pašvaldība)</w:t>
      </w:r>
      <w:r w:rsidRPr="00BC162E">
        <w:rPr>
          <w:sz w:val="24"/>
          <w:szCs w:val="24"/>
        </w:rPr>
        <w:t xml:space="preserve"> pieder </w:t>
      </w:r>
      <w:r>
        <w:rPr>
          <w:sz w:val="24"/>
          <w:szCs w:val="24"/>
        </w:rPr>
        <w:t>10,01618 </w:t>
      </w:r>
      <w:r w:rsidRPr="00BC162E">
        <w:rPr>
          <w:sz w:val="24"/>
          <w:szCs w:val="24"/>
        </w:rPr>
        <w:t>% kapitāla daļu</w:t>
      </w:r>
      <w:r>
        <w:rPr>
          <w:sz w:val="24"/>
          <w:szCs w:val="24"/>
        </w:rPr>
        <w:t>, pārējās kapitāla daļas pieder 23</w:t>
      </w:r>
      <w:r w:rsidRPr="005B5D21">
        <w:rPr>
          <w:sz w:val="24"/>
          <w:szCs w:val="24"/>
        </w:rPr>
        <w:t xml:space="preserve"> fiziskām</w:t>
      </w:r>
      <w:r>
        <w:rPr>
          <w:sz w:val="24"/>
          <w:szCs w:val="24"/>
        </w:rPr>
        <w:t xml:space="preserve">, ar veselības aprūpi saistītām </w:t>
      </w:r>
      <w:r w:rsidRPr="005B5D21">
        <w:rPr>
          <w:sz w:val="24"/>
          <w:szCs w:val="24"/>
        </w:rPr>
        <w:t>personām</w:t>
      </w:r>
      <w:r>
        <w:rPr>
          <w:sz w:val="24"/>
          <w:szCs w:val="24"/>
        </w:rPr>
        <w:t>.</w:t>
      </w:r>
    </w:p>
    <w:p w14:paraId="427A4334" w14:textId="77777777" w:rsidR="00EF079C" w:rsidRDefault="00EF079C" w:rsidP="00EF079C">
      <w:pPr>
        <w:ind w:right="19" w:firstLine="567"/>
        <w:rPr>
          <w:sz w:val="24"/>
          <w:szCs w:val="24"/>
        </w:rPr>
      </w:pPr>
      <w:r>
        <w:rPr>
          <w:sz w:val="24"/>
          <w:szCs w:val="24"/>
        </w:rPr>
        <w:t>Sabiedrības pamatdarbības virziens ir veselības aprūpes pakalpojumu - valsts apmaksātu un maksas veselības aprūpes pakalpojumu nodrošināšana. Papildus ambulatoro veselības aprūpes pakalpojumu sniegšanai Sabiedrība izīrē telpas veselības aprūpes un ar veselības aprūpi saistīto pakalpojumu sniedzējiem (ģimenes ārstu praksēm, zobārstu praksēm, oftalmologa praksei, aptiekai, laboratorijai).</w:t>
      </w:r>
    </w:p>
    <w:p w14:paraId="6770F97B" w14:textId="77777777" w:rsidR="00EF079C" w:rsidRDefault="00EF079C" w:rsidP="00EF079C">
      <w:pPr>
        <w:ind w:right="19" w:firstLine="567"/>
        <w:rPr>
          <w:sz w:val="24"/>
          <w:szCs w:val="24"/>
        </w:rPr>
      </w:pPr>
      <w:r>
        <w:rPr>
          <w:sz w:val="24"/>
          <w:szCs w:val="24"/>
        </w:rPr>
        <w:t xml:space="preserve">Publiskas personas kapitāla daļu un kapitālsabiedrību pārvaldības likuma (turpmāk – Likums) 7. panta pirmā daļa noteic, ka publiskai personai ir pienākums ne retāk kā reizi piecos gados pārvērtēt katru tās tiešo līdzdalību kapitālsabiedrībā un atbilstību šā likuma 4. panta nosacījumiem. </w:t>
      </w:r>
    </w:p>
    <w:p w14:paraId="741FCA7B" w14:textId="77777777" w:rsidR="00EF079C" w:rsidRDefault="00EF079C" w:rsidP="00EF079C">
      <w:pPr>
        <w:ind w:right="19" w:firstLine="567"/>
        <w:rPr>
          <w:sz w:val="24"/>
          <w:szCs w:val="24"/>
        </w:rPr>
      </w:pPr>
      <w:r>
        <w:rPr>
          <w:sz w:val="24"/>
          <w:szCs w:val="24"/>
        </w:rPr>
        <w:t>Likuma 4. panta pirmā daļa noteic, ka publiska persona drīkst iegūt un saglabāt līdzdalību kapitālsabiedrībā atbilstoši Valsts pārvaldes iekārtas likuma (turpmāk – VPIL)  88. pantam.</w:t>
      </w:r>
    </w:p>
    <w:p w14:paraId="02A7D8FB" w14:textId="77777777" w:rsidR="00EF079C" w:rsidRDefault="00EF079C" w:rsidP="00EF079C">
      <w:pPr>
        <w:ind w:right="19" w:firstLine="364"/>
        <w:rPr>
          <w:sz w:val="24"/>
          <w:szCs w:val="24"/>
        </w:rPr>
      </w:pPr>
      <w:r>
        <w:rPr>
          <w:sz w:val="24"/>
          <w:szCs w:val="24"/>
        </w:rPr>
        <w:t>VPIL 88. panta pirmā daļa paredz šādus nosacījumus publiskas personas līdzdalībai kapitālsabiedrībā - tiek novērsta tirgus nepilnība; tiek radītas preces vai pakalpojumi, kas ir stratēģiski svarīgi valsts vai pašvaldības administratīvās teritorijas attīstībai vai valsts drošībai; tiek pārvaldīti tādi īpašumi, kas ir stratēģiski svarīgi valsts vai pašvaldības administratīvās teritorijas attīstībai vai valsts drošībai.</w:t>
      </w:r>
    </w:p>
    <w:p w14:paraId="7C3BD83E" w14:textId="77777777" w:rsidR="00EF079C" w:rsidRDefault="00EF079C" w:rsidP="00EF079C">
      <w:pPr>
        <w:ind w:right="19" w:firstLine="567"/>
        <w:rPr>
          <w:sz w:val="24"/>
          <w:szCs w:val="24"/>
        </w:rPr>
      </w:pPr>
      <w:r>
        <w:rPr>
          <w:sz w:val="24"/>
          <w:szCs w:val="24"/>
        </w:rPr>
        <w:t xml:space="preserve">VPIL 87. panta pirmā un trešā daļa noteic, ka publiska persona privāto tiesību jomā darbojas veicot darījumus, kas nepieciešami tās darbības nodrošināšanai, sniedzot pakalpojumus un dibinot kapitālsabiedrību vai iegūstot līdzdalību esošā kapitālsabiedrībā. Atvasinātas publiskas personas, izveidojot privāto tiesību juridiskās personas, nevar izvirzīt citus mērķus, kas neizriet no pašvaldību autonomajām funkcijām. </w:t>
      </w:r>
    </w:p>
    <w:p w14:paraId="1EE3B22C" w14:textId="77777777" w:rsidR="00EF079C" w:rsidRDefault="00EF079C" w:rsidP="00EF079C">
      <w:pPr>
        <w:ind w:right="19" w:firstLine="567"/>
        <w:rPr>
          <w:sz w:val="24"/>
          <w:szCs w:val="24"/>
        </w:rPr>
      </w:pPr>
      <w:r>
        <w:rPr>
          <w:sz w:val="24"/>
          <w:szCs w:val="24"/>
        </w:rPr>
        <w:t>Atbilstoši Pašvaldību likuma 4. panta pirmās daļas 6. punktam, viena no pašvaldības autonomajām funkcijām ir gādāt par iedzīvotāju veselību – īstenot veselīga dzīvesveida veicināšanas pasākumus un organizēt veselības aprūpes pakalpojumu pieejamību.</w:t>
      </w:r>
    </w:p>
    <w:p w14:paraId="2036FEE7" w14:textId="77777777" w:rsidR="00EF079C" w:rsidRDefault="00EF079C" w:rsidP="00EF079C">
      <w:pPr>
        <w:ind w:right="19" w:firstLine="364"/>
        <w:rPr>
          <w:sz w:val="24"/>
          <w:szCs w:val="24"/>
        </w:rPr>
      </w:pPr>
      <w:r w:rsidRPr="00180CEE">
        <w:rPr>
          <w:sz w:val="24"/>
          <w:szCs w:val="24"/>
        </w:rPr>
        <w:t>Atbilstoši VPIL 88.</w:t>
      </w:r>
      <w:r>
        <w:rPr>
          <w:sz w:val="24"/>
          <w:szCs w:val="24"/>
        </w:rPr>
        <w:t> </w:t>
      </w:r>
      <w:r w:rsidRPr="00180CEE">
        <w:rPr>
          <w:sz w:val="24"/>
          <w:szCs w:val="24"/>
        </w:rPr>
        <w:t>panta otrajai daļai,</w:t>
      </w:r>
      <w:r>
        <w:rPr>
          <w:sz w:val="24"/>
          <w:szCs w:val="24"/>
        </w:rPr>
        <w:t xml:space="preserve"> pašvaldība veica līdzdalības Sabiedrībā izvērtējumu, konsultējoties ar</w:t>
      </w:r>
      <w:r w:rsidRPr="00180CEE">
        <w:rPr>
          <w:sz w:val="24"/>
          <w:szCs w:val="24"/>
        </w:rPr>
        <w:t xml:space="preserve"> kompetentajām institūcijām konkurences aizsardzības jomā un komersantus pārstāvošām biedrībām vai nodibinājumiem</w:t>
      </w:r>
      <w:r>
        <w:rPr>
          <w:sz w:val="24"/>
          <w:szCs w:val="24"/>
        </w:rPr>
        <w:t>.</w:t>
      </w:r>
    </w:p>
    <w:p w14:paraId="78DDB13E" w14:textId="77777777" w:rsidR="00EF079C" w:rsidRDefault="00EF079C" w:rsidP="00EF079C">
      <w:pPr>
        <w:ind w:right="19" w:firstLine="364"/>
        <w:rPr>
          <w:sz w:val="24"/>
          <w:szCs w:val="24"/>
        </w:rPr>
      </w:pPr>
      <w:r>
        <w:rPr>
          <w:sz w:val="24"/>
          <w:szCs w:val="24"/>
        </w:rPr>
        <w:t>B</w:t>
      </w:r>
      <w:r w:rsidRPr="00180CEE">
        <w:rPr>
          <w:sz w:val="24"/>
          <w:szCs w:val="24"/>
        </w:rPr>
        <w:t>iedrība</w:t>
      </w:r>
      <w:r>
        <w:rPr>
          <w:sz w:val="24"/>
          <w:szCs w:val="24"/>
        </w:rPr>
        <w:t>s</w:t>
      </w:r>
      <w:r w:rsidRPr="00180CEE">
        <w:rPr>
          <w:sz w:val="24"/>
          <w:szCs w:val="24"/>
        </w:rPr>
        <w:t xml:space="preserve"> </w:t>
      </w:r>
      <w:r>
        <w:rPr>
          <w:sz w:val="24"/>
          <w:szCs w:val="24"/>
        </w:rPr>
        <w:t>“Latvijas Tirdzniecības un rūpniecības kamera” ieskatā pašvaldības dalība kapitālsabiedrībā nenovērš tirgus nepilnību, neveic valsts attīstībai vai drošībai stratēģiski svarīgu pakalpojumu vai preču nodrošināšanu, kā arī nenodrošina stratēģiski svarīgu īpašumu pārvaldīšanu, tamdēļ pašvaldības līdzdalība Sabiedrībā nav jāsaglabā un pašvaldībai piederošās daļas var nodot atsavināšanai.</w:t>
      </w:r>
    </w:p>
    <w:p w14:paraId="6BE582BE" w14:textId="77777777" w:rsidR="00EF079C" w:rsidRDefault="00EF079C" w:rsidP="00EF079C">
      <w:pPr>
        <w:ind w:right="19" w:firstLine="364"/>
        <w:rPr>
          <w:sz w:val="24"/>
          <w:szCs w:val="24"/>
        </w:rPr>
      </w:pPr>
      <w:r>
        <w:rPr>
          <w:sz w:val="24"/>
          <w:szCs w:val="24"/>
        </w:rPr>
        <w:t xml:space="preserve">Biedrība “Veselības aprūpes darba devēju asociācija” uzskata, ka jau šobrīd Sabiedrība strādā rentabli, peļņa tiek novirzīta attīstībai, infrastruktūras uzlabošanai, gadu gaitā kapitālsabiedrība savu darbu ir pilnveidojusi, iedzīvotājiem nodrošinot arvien plašāku veselības aprūpes pakalpojumu klāstu, līdz ar ko Sabiedrība var nodrošināt iedzīvotājiem pakalpojumus ilgtermiņā bez pašvaldības līdzdalības un pašvaldībai nav lietderīgi turpināt iesaistīties komercdarbībā. </w:t>
      </w:r>
    </w:p>
    <w:p w14:paraId="5ED5B087" w14:textId="77777777" w:rsidR="00EF079C" w:rsidRDefault="00EF079C" w:rsidP="00EF079C">
      <w:pPr>
        <w:ind w:right="19" w:firstLine="364"/>
        <w:rPr>
          <w:sz w:val="24"/>
          <w:szCs w:val="24"/>
        </w:rPr>
      </w:pPr>
      <w:r>
        <w:rPr>
          <w:sz w:val="24"/>
          <w:szCs w:val="24"/>
        </w:rPr>
        <w:t xml:space="preserve">Pašvaldības līdzdalības saglabāšanu Sabiedrībā atbalsta Alūksnes invalīdu biedrība un biedrība “Latvijas ģimenes ārstu asociācija”. Biedrība “Alūksnes nevalstisko organizāciju atbalsta centrs” norādīja, ka pašvaldības līdzdalību Sabiedrībā ir svarīgi saglabāt, tādējādi </w:t>
      </w:r>
      <w:r>
        <w:rPr>
          <w:sz w:val="24"/>
          <w:szCs w:val="24"/>
        </w:rPr>
        <w:lastRenderedPageBreak/>
        <w:t>nodrošinot plaša spektra veselības aprūpes pakalpojumu pieejamību Alūksnes novada iedzīvotājiem.</w:t>
      </w:r>
    </w:p>
    <w:p w14:paraId="46E20E79" w14:textId="77777777" w:rsidR="00EF079C" w:rsidRDefault="00EF079C" w:rsidP="00EF079C">
      <w:pPr>
        <w:ind w:right="19" w:firstLine="364"/>
        <w:rPr>
          <w:sz w:val="24"/>
          <w:szCs w:val="24"/>
        </w:rPr>
      </w:pPr>
      <w:r>
        <w:rPr>
          <w:sz w:val="24"/>
          <w:szCs w:val="24"/>
        </w:rPr>
        <w:t>Konkurences padomes ieskatā, ņemot vērā pašvaldības īpašumā esošo Sabiedrības kapitāla daļu apjomu, kā arī Sabiedrības pozitīvos darbības rādītājus, kas liecina, ka tā līdzšinējā darbībā ir attīstījusies un nodrošina pašvaldības iedzīvotājiem primāro veselības aprūpi, kā arī iespējami daudzveidīgu ambulatoro un diagnostisko veselības aprūpes pakalpojumu klāstu, Konkurences padome nesaskata nepieciešamību pašvaldībai turpināt līdzdalību Sabiedrībā un atbalsta iespējamo pašvaldības līdzdalības pārtraukšanu</w:t>
      </w:r>
      <w:r w:rsidRPr="00A047E6">
        <w:rPr>
          <w:sz w:val="24"/>
          <w:szCs w:val="24"/>
        </w:rPr>
        <w:t xml:space="preserve"> </w:t>
      </w:r>
      <w:r>
        <w:rPr>
          <w:sz w:val="24"/>
          <w:szCs w:val="24"/>
        </w:rPr>
        <w:t>Sabiedrībā atsavinot pašvaldības īpašumā esošās kapitāla daļas.  Konkurences padomes ieskatā Pašvaldību likumā ietverto pašvaldības autonomo funkciju – gādāt par iedzīvotāju veselību – īstenot veselīga dzīvesveida veicināšanas pasākumus un organizēt veselības aprūpes pakalpojumu pieejamību” var tikt īstenota arī citā veidā, nevis pašvaldībai saglabājot līdzdalību Sabiedrībā.</w:t>
      </w:r>
    </w:p>
    <w:p w14:paraId="69521338" w14:textId="77777777" w:rsidR="00EF079C" w:rsidRDefault="00EF079C" w:rsidP="00EF079C">
      <w:pPr>
        <w:ind w:right="19" w:firstLine="567"/>
        <w:rPr>
          <w:sz w:val="24"/>
          <w:szCs w:val="24"/>
        </w:rPr>
      </w:pPr>
      <w:r>
        <w:rPr>
          <w:sz w:val="24"/>
          <w:szCs w:val="24"/>
        </w:rPr>
        <w:t xml:space="preserve">Izvērtējot pašvaldības līdzdalību Sabiedrībā, secināms, ka pašvaldības līdzdalība </w:t>
      </w:r>
      <w:bookmarkStart w:id="0" w:name="_Hlk147327307"/>
      <w:r>
        <w:rPr>
          <w:sz w:val="24"/>
          <w:szCs w:val="24"/>
        </w:rPr>
        <w:t>SIA “Alūksnes primārās veselības aprūpes centrs”</w:t>
      </w:r>
      <w:bookmarkEnd w:id="0"/>
      <w:r>
        <w:rPr>
          <w:sz w:val="24"/>
          <w:szCs w:val="24"/>
        </w:rPr>
        <w:t xml:space="preserve"> uzskatāma par atbilstošu VPIL 88. panta pirmās daļas 1. un 2. punktam. Tirgus nepilnību veselības aprūpes nozarē rada veselības aprūpes pakalpojumu pieejamības atšķirības valsts mērogā, kā arī nepietiekamais finansējums valsts apmaksātu pakalpojumu nodrošināšanā. Tirgus nepilnību nevar attiecināt uz visiem Sabiedrības sniegtajiem veselības aprūpes pakalpojumiem, piemēram, zobārstniecības, fizioterapijas, laboratoriskiem pakalpojumiem, jo šos pakalpojumus novada administratīvajā teritorijā jau sniedz privātie tirgus dalībnieki. Atsaucoties uz Konkurences padomes iepriekš atzīto, stratēģiski svarīgus pakalpojumus noteiktos gadījumos ir iespējams sniegt arī privātajiem tirgus dalībniekiem, bet publiskajām personām ir nepieciešams veikt tirgus izpēti, tādējādi pamatojot iespējamas tirgus nepilnības pastāvēšanu konkrētajā pakalpojumu tirgū, proti, situāciju, kad pieprasījums pēc noteikta pakalpojuma ir lielāks nekā esošais piedāvājums. </w:t>
      </w:r>
      <w:hyperlink r:id="rId5" w:history="1">
        <w:r w:rsidRPr="002C68B7">
          <w:rPr>
            <w:rStyle w:val="Hipersaite"/>
            <w:sz w:val="24"/>
            <w:szCs w:val="24"/>
          </w:rPr>
          <w:t>www.rindapiearsta.lv</w:t>
        </w:r>
      </w:hyperlink>
      <w:r>
        <w:rPr>
          <w:sz w:val="24"/>
          <w:szCs w:val="24"/>
        </w:rPr>
        <w:t xml:space="preserve"> pieejamā informācija apliecina, ka pieprasījums pēc noteiktiem veselības aprūpes pakalpojumiem ir lielāks nekā piedāvājums, līdz ar ko var secināt, ka Sabiedrības sniegtie pakalpojumi ir atzīstami par stratēģiski svarīgiem pakalpojumiem. Tā kā ambulatorie pakalpojumi pamatā ir tā veselības aprūpes pakalpojumu grupa, ko sniedz privātie veselības aprūpes pakalpojumu sniedzēji, tad konkrēto pakalpojumu sniegšanas tirgū ir iespēja ienākt privātajiem pakalpojumu sniedzējiem. Ņemot vērā, ka daļa Sabiedrības sniegto veselības aprūpes pakalpojumu ir līdzīgi tiem pakalpojumiem, ko sniedz SIA “Alūksnes slimnīca”, kurā pašvaldībai pieder 81,91886% kapitāla daļu un daļu veselības aprūpes pakalpojumu jau sniedz privātie tirgus dalībnieki, tādējādi publiskas personas neiesaistīšanās komercdarbībā nekādas sekas uz pakalpojuma saņēmējiem neatstās, tiem arī turpmāk būs iespēja saņemt veselības aprūpes pakalpojumus.</w:t>
      </w:r>
    </w:p>
    <w:p w14:paraId="0CB82E54" w14:textId="77777777" w:rsidR="00EF079C" w:rsidRPr="00711234" w:rsidRDefault="00EF079C" w:rsidP="00EF079C">
      <w:pPr>
        <w:ind w:right="19" w:firstLine="0"/>
        <w:rPr>
          <w:sz w:val="24"/>
          <w:szCs w:val="24"/>
          <w:highlight w:val="yellow"/>
        </w:rPr>
      </w:pPr>
    </w:p>
    <w:p w14:paraId="10D5FDF9" w14:textId="77777777" w:rsidR="00EF079C" w:rsidRDefault="00EF079C" w:rsidP="00EF079C">
      <w:pPr>
        <w:ind w:right="19" w:firstLine="364"/>
        <w:rPr>
          <w:sz w:val="24"/>
          <w:szCs w:val="24"/>
        </w:rPr>
      </w:pPr>
      <w:r w:rsidRPr="00117E5F">
        <w:rPr>
          <w:sz w:val="24"/>
          <w:szCs w:val="24"/>
        </w:rPr>
        <w:t>Ņemot vērā iepriekš minēto un pamatojoties uz Pašvaldību likuma 10.</w:t>
      </w:r>
      <w:r>
        <w:rPr>
          <w:sz w:val="24"/>
          <w:szCs w:val="24"/>
        </w:rPr>
        <w:t> </w:t>
      </w:r>
      <w:r w:rsidRPr="00117E5F">
        <w:rPr>
          <w:sz w:val="24"/>
          <w:szCs w:val="24"/>
        </w:rPr>
        <w:t>panta pirmās daļas 9.</w:t>
      </w:r>
      <w:r>
        <w:rPr>
          <w:sz w:val="24"/>
          <w:szCs w:val="24"/>
        </w:rPr>
        <w:t xml:space="preserve"> un 21. </w:t>
      </w:r>
      <w:r w:rsidRPr="00D43D58">
        <w:rPr>
          <w:sz w:val="24"/>
          <w:szCs w:val="24"/>
        </w:rPr>
        <w:t>punktu, Valsts pārvaldes iekārtas likuma 88.</w:t>
      </w:r>
      <w:r>
        <w:rPr>
          <w:sz w:val="24"/>
          <w:szCs w:val="24"/>
        </w:rPr>
        <w:t> </w:t>
      </w:r>
      <w:r w:rsidRPr="00D43D58">
        <w:rPr>
          <w:sz w:val="24"/>
          <w:szCs w:val="24"/>
        </w:rPr>
        <w:t>panta pirmo daļu, Publiskas</w:t>
      </w:r>
      <w:r w:rsidRPr="00117E5F">
        <w:rPr>
          <w:sz w:val="24"/>
          <w:szCs w:val="24"/>
        </w:rPr>
        <w:t xml:space="preserve"> personas kapitāla daļu un kapitālsabiedrību pārvaldības likuma 4.</w:t>
      </w:r>
      <w:r>
        <w:rPr>
          <w:sz w:val="24"/>
          <w:szCs w:val="24"/>
        </w:rPr>
        <w:t> </w:t>
      </w:r>
      <w:r w:rsidRPr="00117E5F">
        <w:rPr>
          <w:sz w:val="24"/>
          <w:szCs w:val="24"/>
        </w:rPr>
        <w:t>panta pirmo daļu, 7.</w:t>
      </w:r>
      <w:r>
        <w:rPr>
          <w:sz w:val="24"/>
          <w:szCs w:val="24"/>
        </w:rPr>
        <w:t> </w:t>
      </w:r>
      <w:r w:rsidRPr="00117E5F">
        <w:rPr>
          <w:sz w:val="24"/>
          <w:szCs w:val="24"/>
        </w:rPr>
        <w:t>pant</w:t>
      </w:r>
      <w:r>
        <w:rPr>
          <w:sz w:val="24"/>
          <w:szCs w:val="24"/>
        </w:rPr>
        <w:t xml:space="preserve">a pirmo daļu, 9. panta pirmo un ceturto daļu, 138. panta pirmo daļu, 139. panta otro daļu, </w:t>
      </w:r>
    </w:p>
    <w:p w14:paraId="7C7CE86F" w14:textId="77777777" w:rsidR="00EF079C" w:rsidRPr="0002293B" w:rsidRDefault="00EF079C" w:rsidP="00EF079C">
      <w:pPr>
        <w:ind w:right="19" w:firstLine="364"/>
        <w:rPr>
          <w:sz w:val="24"/>
          <w:szCs w:val="24"/>
        </w:rPr>
      </w:pPr>
    </w:p>
    <w:p w14:paraId="5EEDE641" w14:textId="77777777" w:rsidR="00EF079C" w:rsidRDefault="00EF079C" w:rsidP="00EF079C">
      <w:pPr>
        <w:pStyle w:val="Sarakstarindkopa"/>
        <w:numPr>
          <w:ilvl w:val="0"/>
          <w:numId w:val="1"/>
        </w:numPr>
        <w:ind w:right="19"/>
        <w:rPr>
          <w:sz w:val="24"/>
          <w:szCs w:val="24"/>
        </w:rPr>
      </w:pPr>
      <w:r>
        <w:rPr>
          <w:sz w:val="24"/>
          <w:szCs w:val="24"/>
        </w:rPr>
        <w:t>Izbeigt Alūksnes novada pašvaldības tiešo līdzdalību sabiedrībā ar ierobežotu atbildību</w:t>
      </w:r>
      <w:r w:rsidRPr="00D2204D">
        <w:rPr>
          <w:sz w:val="24"/>
          <w:szCs w:val="24"/>
        </w:rPr>
        <w:t xml:space="preserve"> “Alūksnes </w:t>
      </w:r>
      <w:r>
        <w:rPr>
          <w:sz w:val="24"/>
          <w:szCs w:val="24"/>
        </w:rPr>
        <w:t>primārās veselības aprūpes centrs</w:t>
      </w:r>
      <w:r w:rsidRPr="00D2204D">
        <w:rPr>
          <w:sz w:val="24"/>
          <w:szCs w:val="24"/>
        </w:rPr>
        <w:t>”</w:t>
      </w:r>
      <w:r>
        <w:rPr>
          <w:sz w:val="24"/>
          <w:szCs w:val="24"/>
        </w:rPr>
        <w:t>, reģistrācijas Nr. 44103024817.</w:t>
      </w:r>
    </w:p>
    <w:p w14:paraId="67A7363C" w14:textId="77777777" w:rsidR="00EF079C" w:rsidRDefault="00EF079C" w:rsidP="00EF079C">
      <w:pPr>
        <w:pStyle w:val="Sarakstarindkopa"/>
        <w:numPr>
          <w:ilvl w:val="0"/>
          <w:numId w:val="1"/>
        </w:numPr>
        <w:ind w:right="19"/>
        <w:rPr>
          <w:sz w:val="24"/>
          <w:szCs w:val="24"/>
        </w:rPr>
      </w:pPr>
      <w:r>
        <w:rPr>
          <w:sz w:val="24"/>
          <w:szCs w:val="24"/>
        </w:rPr>
        <w:t>Nodot atsavināšanai sabiedrības ar ierobežotu atbildību</w:t>
      </w:r>
      <w:r w:rsidRPr="00D2204D">
        <w:rPr>
          <w:sz w:val="24"/>
          <w:szCs w:val="24"/>
        </w:rPr>
        <w:t xml:space="preserve"> “Alūksnes </w:t>
      </w:r>
      <w:r>
        <w:rPr>
          <w:sz w:val="24"/>
          <w:szCs w:val="24"/>
        </w:rPr>
        <w:t>primārās veselības aprūpes centrs</w:t>
      </w:r>
      <w:r w:rsidRPr="00D2204D">
        <w:rPr>
          <w:sz w:val="24"/>
          <w:szCs w:val="24"/>
        </w:rPr>
        <w:t>”</w:t>
      </w:r>
      <w:r>
        <w:rPr>
          <w:sz w:val="24"/>
          <w:szCs w:val="24"/>
        </w:rPr>
        <w:t xml:space="preserve"> Alūksnes novada pašvaldībai piederošās 681 kapitāla daļas.</w:t>
      </w:r>
    </w:p>
    <w:p w14:paraId="14D887D9" w14:textId="77777777" w:rsidR="00EF079C" w:rsidRPr="00B65B5E" w:rsidRDefault="00EF079C" w:rsidP="00EF079C">
      <w:pPr>
        <w:pStyle w:val="Sarakstarindkopa"/>
        <w:numPr>
          <w:ilvl w:val="0"/>
          <w:numId w:val="1"/>
        </w:numPr>
        <w:ind w:right="19"/>
        <w:rPr>
          <w:sz w:val="24"/>
          <w:szCs w:val="24"/>
        </w:rPr>
      </w:pPr>
      <w:r>
        <w:rPr>
          <w:sz w:val="24"/>
          <w:szCs w:val="24"/>
        </w:rPr>
        <w:t>Uzdot Alūksnes novada pašvaldības Īpašumu atsavināšanas komisijai organizēt lēmuma 2. punktā minēto kapitāla daļu pārdošanas sākotnējās vērtības noteikšanu un veikt atsavināšanu atbilstoši spēkā esošo normatīvo aktu prasībām, t.sk. izstrādāt un iesniegt domei apstiprināšanai kapitāla daļu pārdošanas noteikumus.</w:t>
      </w:r>
    </w:p>
    <w:p w14:paraId="212C1FAD" w14:textId="77777777" w:rsidR="00550288" w:rsidRDefault="00550288"/>
    <w:sectPr w:rsidR="00550288"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F5049"/>
    <w:multiLevelType w:val="hybridMultilevel"/>
    <w:tmpl w:val="D1BCC75C"/>
    <w:lvl w:ilvl="0" w:tplc="AB5A29C4">
      <w:start w:val="1"/>
      <w:numFmt w:val="decimal"/>
      <w:lvlText w:val="%1."/>
      <w:lvlJc w:val="left"/>
      <w:pPr>
        <w:ind w:left="364" w:hanging="360"/>
      </w:pPr>
      <w:rPr>
        <w:rFonts w:hint="default"/>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num w:numId="1" w16cid:durableId="137357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9C"/>
    <w:rsid w:val="004F7DD7"/>
    <w:rsid w:val="00550288"/>
    <w:rsid w:val="00EF07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1B56"/>
  <w15:chartTrackingRefBased/>
  <w15:docId w15:val="{BAEC7440-BEE7-4B36-A528-29A86AC8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079C"/>
    <w:pPr>
      <w:spacing w:after="12" w:line="251" w:lineRule="auto"/>
      <w:ind w:right="29" w:firstLine="4"/>
      <w:jc w:val="both"/>
    </w:pPr>
    <w:rPr>
      <w:rFonts w:eastAsia="Times New Roman" w:cs="Times New Roman"/>
      <w:color w:val="000000"/>
      <w:sz w:val="22"/>
      <w:lang w:eastAsia="lv-LV"/>
    </w:rPr>
  </w:style>
  <w:style w:type="paragraph" w:styleId="Virsraksts2">
    <w:name w:val="heading 2"/>
    <w:next w:val="Parasts"/>
    <w:link w:val="Virsraksts2Rakstz"/>
    <w:uiPriority w:val="9"/>
    <w:unhideWhenUsed/>
    <w:qFormat/>
    <w:rsid w:val="00EF079C"/>
    <w:pPr>
      <w:keepNext/>
      <w:keepLines/>
      <w:spacing w:after="0"/>
      <w:ind w:left="2014" w:right="2033" w:hanging="10"/>
      <w:jc w:val="center"/>
      <w:outlineLvl w:val="1"/>
    </w:pPr>
    <w:rPr>
      <w:rFonts w:eastAsia="Times New Roman" w:cs="Times New Roman"/>
      <w:color w:val="00000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EF079C"/>
    <w:rPr>
      <w:rFonts w:eastAsia="Times New Roman" w:cs="Times New Roman"/>
      <w:color w:val="000000"/>
      <w:lang w:eastAsia="lv-LV"/>
    </w:rPr>
  </w:style>
  <w:style w:type="paragraph" w:styleId="Sarakstarindkopa">
    <w:name w:val="List Paragraph"/>
    <w:basedOn w:val="Parasts"/>
    <w:uiPriority w:val="34"/>
    <w:qFormat/>
    <w:rsid w:val="00EF079C"/>
    <w:pPr>
      <w:ind w:left="720"/>
      <w:contextualSpacing/>
    </w:pPr>
  </w:style>
  <w:style w:type="character" w:styleId="Hipersaite">
    <w:name w:val="Hyperlink"/>
    <w:basedOn w:val="Noklusjumarindkopasfonts"/>
    <w:uiPriority w:val="99"/>
    <w:unhideWhenUsed/>
    <w:rsid w:val="00EF0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ndapiearst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4931</Words>
  <Characters>2811</Characters>
  <Application>Microsoft Office Word</Application>
  <DocSecurity>0</DocSecurity>
  <Lines>23</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2023-10-06T08:07:00Z</dcterms:created>
  <dcterms:modified xsi:type="dcterms:W3CDTF">2023-10-06T08:11:00Z</dcterms:modified>
</cp:coreProperties>
</file>