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89B4" w14:textId="035E51E1" w:rsidR="00113E4B" w:rsidRDefault="00113E4B" w:rsidP="00941E6A">
      <w:pPr>
        <w:spacing w:after="0" w:line="240" w:lineRule="auto"/>
        <w:jc w:val="right"/>
        <w:rPr>
          <w:i/>
        </w:rPr>
      </w:pPr>
      <w:r w:rsidRPr="00F75C0B">
        <w:rPr>
          <w:i/>
        </w:rPr>
        <w:t>Lēmuma projekts</w:t>
      </w:r>
    </w:p>
    <w:p w14:paraId="5477CE8C" w14:textId="77777777" w:rsidR="00941E6A" w:rsidRPr="00F75C0B" w:rsidRDefault="00941E6A" w:rsidP="00941E6A">
      <w:pPr>
        <w:spacing w:after="0" w:line="240" w:lineRule="auto"/>
        <w:jc w:val="right"/>
        <w:rPr>
          <w:i/>
        </w:rPr>
      </w:pPr>
    </w:p>
    <w:p w14:paraId="1D68E56F" w14:textId="5BFD2B5E" w:rsidR="00113E4B" w:rsidRPr="00AF1A2C" w:rsidRDefault="00C54B95" w:rsidP="00941E6A">
      <w:pPr>
        <w:spacing w:after="0" w:line="240" w:lineRule="auto"/>
        <w:jc w:val="center"/>
        <w:rPr>
          <w:b/>
        </w:rPr>
      </w:pPr>
      <w:r>
        <w:rPr>
          <w:b/>
        </w:rPr>
        <w:t>Par saistošo noteikumu  “</w:t>
      </w:r>
      <w:bookmarkStart w:id="0" w:name="_Hlk147244534"/>
      <w:r w:rsidR="00113E4B" w:rsidRPr="00AF1A2C">
        <w:rPr>
          <w:b/>
        </w:rPr>
        <w:t>P</w:t>
      </w:r>
      <w:r w:rsidR="00113E4B">
        <w:rPr>
          <w:b/>
        </w:rPr>
        <w:t xml:space="preserve">ar </w:t>
      </w:r>
      <w:r w:rsidR="00FB3D56">
        <w:rPr>
          <w:b/>
        </w:rPr>
        <w:t>Alūksnes novada pašvaldības domes 2016.</w:t>
      </w:r>
      <w:r w:rsidR="00941E6A">
        <w:rPr>
          <w:b/>
        </w:rPr>
        <w:t> </w:t>
      </w:r>
      <w:r w:rsidR="00FB3D56">
        <w:rPr>
          <w:b/>
        </w:rPr>
        <w:t>gada 28.</w:t>
      </w:r>
      <w:r w:rsidR="00941E6A">
        <w:rPr>
          <w:b/>
        </w:rPr>
        <w:t> </w:t>
      </w:r>
      <w:r w:rsidR="00FB3D56">
        <w:rPr>
          <w:b/>
        </w:rPr>
        <w:t xml:space="preserve">janvāra </w:t>
      </w:r>
      <w:r w:rsidR="00113E4B">
        <w:rPr>
          <w:b/>
        </w:rPr>
        <w:t>saistošo noteikumu Nr.</w:t>
      </w:r>
      <w:r w:rsidR="00941E6A">
        <w:rPr>
          <w:b/>
        </w:rPr>
        <w:t> </w:t>
      </w:r>
      <w:r w:rsidR="00FB3D56">
        <w:rPr>
          <w:b/>
        </w:rPr>
        <w:t>2</w:t>
      </w:r>
      <w:r w:rsidR="00113E4B">
        <w:rPr>
          <w:b/>
        </w:rPr>
        <w:t>/20</w:t>
      </w:r>
      <w:r w:rsidR="00FB3D56">
        <w:rPr>
          <w:b/>
        </w:rPr>
        <w:t>16</w:t>
      </w:r>
      <w:r w:rsidR="00113E4B" w:rsidRPr="00AF1A2C">
        <w:rPr>
          <w:b/>
        </w:rPr>
        <w:t xml:space="preserve"> </w:t>
      </w:r>
      <w:r w:rsidR="008E7520">
        <w:rPr>
          <w:b/>
        </w:rPr>
        <w:t>“</w:t>
      </w:r>
      <w:r w:rsidR="00FB3D56">
        <w:rPr>
          <w:b/>
        </w:rPr>
        <w:t>Par Alūksnes novada domes saistošo noteikumu publicēšanas vietu”</w:t>
      </w:r>
      <w:r w:rsidR="00941E6A">
        <w:rPr>
          <w:b/>
        </w:rPr>
        <w:t xml:space="preserve"> </w:t>
      </w:r>
      <w:r w:rsidR="00FB3D56">
        <w:rPr>
          <w:b/>
        </w:rPr>
        <w:t>atzīšanu par spēku zaudējušiem</w:t>
      </w:r>
      <w:bookmarkEnd w:id="0"/>
      <w:r>
        <w:rPr>
          <w:b/>
        </w:rPr>
        <w:t>” izdošanu</w:t>
      </w:r>
    </w:p>
    <w:p w14:paraId="5C369B8E" w14:textId="77777777" w:rsidR="00113E4B" w:rsidRPr="00AF1A2C" w:rsidRDefault="00113E4B" w:rsidP="00941E6A">
      <w:pPr>
        <w:spacing w:after="0" w:line="240" w:lineRule="auto"/>
        <w:jc w:val="both"/>
        <w:rPr>
          <w:b/>
        </w:rPr>
      </w:pPr>
    </w:p>
    <w:p w14:paraId="35FA7452" w14:textId="2DA1D179" w:rsidR="00113E4B" w:rsidRPr="00AF1A2C" w:rsidRDefault="00113E4B" w:rsidP="00941E6A">
      <w:pPr>
        <w:spacing w:after="0" w:line="240" w:lineRule="auto"/>
        <w:ind w:firstLine="426"/>
        <w:jc w:val="both"/>
      </w:pPr>
      <w:r>
        <w:rPr>
          <w:color w:val="000000"/>
        </w:rPr>
        <w:t xml:space="preserve">Pamatojoties uz </w:t>
      </w:r>
      <w:r w:rsidR="00FB3D56">
        <w:rPr>
          <w:color w:val="000000"/>
        </w:rPr>
        <w:t xml:space="preserve">Pašvaldību </w:t>
      </w:r>
      <w:r w:rsidR="008E7520">
        <w:rPr>
          <w:color w:val="000000"/>
        </w:rPr>
        <w:t xml:space="preserve">likuma </w:t>
      </w:r>
      <w:r w:rsidR="00FB3D56">
        <w:rPr>
          <w:color w:val="000000"/>
        </w:rPr>
        <w:t>47</w:t>
      </w:r>
      <w:r w:rsidR="008E7520">
        <w:rPr>
          <w:color w:val="000000"/>
        </w:rPr>
        <w:t>.</w:t>
      </w:r>
      <w:r w:rsidR="00941E6A">
        <w:rPr>
          <w:color w:val="000000"/>
        </w:rPr>
        <w:t> </w:t>
      </w:r>
      <w:r w:rsidR="008E7520">
        <w:rPr>
          <w:color w:val="000000"/>
        </w:rPr>
        <w:t xml:space="preserve">panta </w:t>
      </w:r>
      <w:r w:rsidR="00FB3D56">
        <w:rPr>
          <w:color w:val="000000"/>
        </w:rPr>
        <w:t>pirmo</w:t>
      </w:r>
      <w:r w:rsidR="008E7520">
        <w:rPr>
          <w:color w:val="000000"/>
        </w:rPr>
        <w:t xml:space="preserve"> daļu</w:t>
      </w:r>
      <w:r w:rsidR="00FB3D56">
        <w:rPr>
          <w:color w:val="000000"/>
        </w:rPr>
        <w:t xml:space="preserve"> un Pārejas noteikumu 6.</w:t>
      </w:r>
      <w:r w:rsidR="00941E6A">
        <w:rPr>
          <w:color w:val="000000"/>
        </w:rPr>
        <w:t> </w:t>
      </w:r>
      <w:r w:rsidR="008E7520">
        <w:rPr>
          <w:color w:val="000000"/>
        </w:rPr>
        <w:t>punktu</w:t>
      </w:r>
      <w:r w:rsidRPr="00AF1A2C">
        <w:rPr>
          <w:color w:val="000000"/>
        </w:rPr>
        <w:t>,</w:t>
      </w:r>
      <w:r w:rsidRPr="00AF1A2C">
        <w:t xml:space="preserve"> </w:t>
      </w:r>
    </w:p>
    <w:p w14:paraId="1E3CC46C" w14:textId="77777777" w:rsidR="009B2E9D" w:rsidRDefault="009B2E9D" w:rsidP="00941E6A">
      <w:pPr>
        <w:spacing w:after="0" w:line="240" w:lineRule="auto"/>
        <w:ind w:firstLine="540"/>
        <w:jc w:val="both"/>
      </w:pPr>
    </w:p>
    <w:p w14:paraId="644D508B" w14:textId="68340CA7" w:rsidR="00113E4B" w:rsidRPr="00AF1A2C" w:rsidRDefault="00BC3F4D" w:rsidP="00941E6A">
      <w:pPr>
        <w:spacing w:after="0" w:line="240" w:lineRule="auto"/>
        <w:ind w:firstLine="540"/>
        <w:jc w:val="both"/>
      </w:pPr>
      <w:r>
        <w:t>Izdot saistošos noteikumus</w:t>
      </w:r>
      <w:r w:rsidR="0007439B">
        <w:t xml:space="preserve"> </w:t>
      </w:r>
      <w:bookmarkStart w:id="1" w:name="_Hlk147321831"/>
      <w:r>
        <w:t>“Par Alūksnes novada pašvaldības domes 2016.</w:t>
      </w:r>
      <w:r w:rsidR="00941E6A">
        <w:t> </w:t>
      </w:r>
      <w:r>
        <w:t>gada 28.</w:t>
      </w:r>
      <w:r w:rsidR="00941E6A">
        <w:t> </w:t>
      </w:r>
      <w:r>
        <w:t>janvāra saistošo noteikumu Nr.</w:t>
      </w:r>
      <w:r w:rsidR="00941E6A">
        <w:t> </w:t>
      </w:r>
      <w:r>
        <w:t xml:space="preserve">2/2016 “Par Alūksnes novada domes saistošo noteikumu publicēšanas vietu” atzīšanu par spēku zaudējušiem” </w:t>
      </w:r>
      <w:bookmarkEnd w:id="1"/>
      <w:r w:rsidR="00113E4B">
        <w:t>un to paskaidrojuma rakstu</w:t>
      </w:r>
      <w:r w:rsidR="00113E4B" w:rsidRPr="00AF1A2C">
        <w:t>.</w:t>
      </w:r>
    </w:p>
    <w:p w14:paraId="0517CDC6" w14:textId="77777777" w:rsidR="00113E4B" w:rsidRPr="00AF1A2C" w:rsidRDefault="00113E4B" w:rsidP="00941E6A">
      <w:pPr>
        <w:spacing w:after="0" w:line="240" w:lineRule="auto"/>
      </w:pPr>
    </w:p>
    <w:p w14:paraId="4C5823D7" w14:textId="03A23566" w:rsidR="001D0AC9" w:rsidRPr="00F75C0B" w:rsidRDefault="00704A14" w:rsidP="00704A14">
      <w:pPr>
        <w:jc w:val="right"/>
        <w:rPr>
          <w:i/>
          <w:iCs/>
        </w:rPr>
      </w:pPr>
      <w:r w:rsidRPr="00F75C0B">
        <w:rPr>
          <w:i/>
          <w:iCs/>
        </w:rPr>
        <w:t>Saistošo noteikumu projekts</w:t>
      </w:r>
    </w:p>
    <w:p w14:paraId="07467A36" w14:textId="6EE4D276" w:rsidR="003E1FD8" w:rsidRDefault="00C54B95" w:rsidP="00941E6A">
      <w:pPr>
        <w:spacing w:after="0" w:line="240" w:lineRule="auto"/>
        <w:jc w:val="center"/>
        <w:rPr>
          <w:b/>
        </w:rPr>
      </w:pPr>
      <w:r w:rsidRPr="00AF1A2C">
        <w:rPr>
          <w:b/>
        </w:rPr>
        <w:t>P</w:t>
      </w:r>
      <w:r>
        <w:rPr>
          <w:b/>
        </w:rPr>
        <w:t>ar Alūksnes novada pašvaldības domes 2016.</w:t>
      </w:r>
      <w:r w:rsidR="00941E6A">
        <w:rPr>
          <w:b/>
        </w:rPr>
        <w:t> </w:t>
      </w:r>
      <w:r>
        <w:rPr>
          <w:b/>
        </w:rPr>
        <w:t>gada 28.</w:t>
      </w:r>
      <w:r w:rsidR="00941E6A">
        <w:rPr>
          <w:b/>
        </w:rPr>
        <w:t> </w:t>
      </w:r>
      <w:r>
        <w:rPr>
          <w:b/>
        </w:rPr>
        <w:t>janvāra saistošo noteikumu Nr.</w:t>
      </w:r>
      <w:r w:rsidR="00941E6A">
        <w:rPr>
          <w:b/>
        </w:rPr>
        <w:t> </w:t>
      </w:r>
      <w:r>
        <w:rPr>
          <w:b/>
        </w:rPr>
        <w:t>2/2016</w:t>
      </w:r>
      <w:r w:rsidR="00941E6A">
        <w:rPr>
          <w:b/>
        </w:rPr>
        <w:t xml:space="preserve"> </w:t>
      </w:r>
      <w:r>
        <w:rPr>
          <w:b/>
        </w:rPr>
        <w:t>“Par Alūksnes novada domes saistošo noteikumu publicēšanas vietu” atzīšanu par spēku zaudējušiem</w:t>
      </w:r>
    </w:p>
    <w:p w14:paraId="4F4FB19A" w14:textId="77777777" w:rsidR="00C54B95" w:rsidRDefault="00C54B95" w:rsidP="00C54B95">
      <w:pPr>
        <w:spacing w:after="0" w:line="240" w:lineRule="auto"/>
        <w:jc w:val="right"/>
        <w:rPr>
          <w:i/>
          <w:iCs/>
        </w:rPr>
      </w:pPr>
    </w:p>
    <w:p w14:paraId="03F9DFD8" w14:textId="30AB8741" w:rsidR="00DB0CBC" w:rsidRDefault="00704A14" w:rsidP="00DB0CBC">
      <w:pPr>
        <w:spacing w:after="0" w:line="240" w:lineRule="auto"/>
        <w:jc w:val="right"/>
        <w:rPr>
          <w:i/>
          <w:iCs/>
          <w:color w:val="000000"/>
        </w:rPr>
      </w:pPr>
      <w:r w:rsidRPr="00B90A7B">
        <w:rPr>
          <w:i/>
          <w:iCs/>
        </w:rPr>
        <w:t xml:space="preserve">Izdoti saskaņā ar </w:t>
      </w:r>
      <w:r w:rsidR="00C54B95">
        <w:rPr>
          <w:i/>
          <w:iCs/>
        </w:rPr>
        <w:t>Pašvaldību</w:t>
      </w:r>
      <w:r w:rsidR="00DB0CBC" w:rsidRPr="00DB0CBC">
        <w:rPr>
          <w:i/>
          <w:iCs/>
          <w:color w:val="000000"/>
        </w:rPr>
        <w:t xml:space="preserve"> likuma </w:t>
      </w:r>
      <w:r w:rsidR="00C54B95">
        <w:rPr>
          <w:i/>
          <w:iCs/>
          <w:color w:val="000000"/>
        </w:rPr>
        <w:t>47</w:t>
      </w:r>
      <w:r w:rsidR="00DB0CBC" w:rsidRPr="00DB0CBC">
        <w:rPr>
          <w:i/>
          <w:iCs/>
          <w:color w:val="000000"/>
        </w:rPr>
        <w:t>.</w:t>
      </w:r>
      <w:r w:rsidR="00941E6A">
        <w:rPr>
          <w:i/>
          <w:iCs/>
          <w:color w:val="000000"/>
        </w:rPr>
        <w:t> </w:t>
      </w:r>
      <w:r w:rsidR="00DB0CBC" w:rsidRPr="00DB0CBC">
        <w:rPr>
          <w:i/>
          <w:iCs/>
          <w:color w:val="000000"/>
        </w:rPr>
        <w:t xml:space="preserve">panta </w:t>
      </w:r>
      <w:r w:rsidR="00C54B95">
        <w:rPr>
          <w:i/>
          <w:iCs/>
          <w:color w:val="000000"/>
        </w:rPr>
        <w:t>pirmo</w:t>
      </w:r>
      <w:r w:rsidR="00DB0CBC" w:rsidRPr="00DB0CBC">
        <w:rPr>
          <w:i/>
          <w:iCs/>
          <w:color w:val="000000"/>
        </w:rPr>
        <w:t xml:space="preserve"> daļu</w:t>
      </w:r>
      <w:r w:rsidR="00C54B95">
        <w:rPr>
          <w:i/>
          <w:iCs/>
          <w:color w:val="000000"/>
        </w:rPr>
        <w:t xml:space="preserve"> un</w:t>
      </w:r>
      <w:r w:rsidR="00DB0CBC" w:rsidRPr="00DB0CBC">
        <w:rPr>
          <w:i/>
          <w:iCs/>
          <w:color w:val="000000"/>
        </w:rPr>
        <w:t xml:space="preserve"> </w:t>
      </w:r>
    </w:p>
    <w:p w14:paraId="407EB1B2" w14:textId="5DC4BCF1" w:rsidR="009A7F92" w:rsidRDefault="00C54B95" w:rsidP="00DB0CBC">
      <w:pPr>
        <w:spacing w:after="0" w:line="240" w:lineRule="auto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Pārejas noteikumu 6</w:t>
      </w:r>
      <w:r w:rsidR="00DB0CBC" w:rsidRPr="00DB0CBC">
        <w:rPr>
          <w:i/>
          <w:iCs/>
          <w:color w:val="000000"/>
        </w:rPr>
        <w:t>.</w:t>
      </w:r>
      <w:r w:rsidR="00941E6A">
        <w:rPr>
          <w:i/>
          <w:iCs/>
          <w:color w:val="000000"/>
        </w:rPr>
        <w:t> </w:t>
      </w:r>
      <w:r w:rsidR="00DB0CBC" w:rsidRPr="00DB0CBC">
        <w:rPr>
          <w:i/>
          <w:iCs/>
          <w:color w:val="000000"/>
        </w:rPr>
        <w:t>punktu</w:t>
      </w:r>
    </w:p>
    <w:p w14:paraId="0C6BA76C" w14:textId="1902A3BE" w:rsidR="00A80B84" w:rsidRDefault="00A80B84" w:rsidP="00941E6A">
      <w:pPr>
        <w:spacing w:after="0" w:line="240" w:lineRule="auto"/>
        <w:rPr>
          <w:i/>
          <w:iCs/>
        </w:rPr>
      </w:pPr>
    </w:p>
    <w:p w14:paraId="014913AE" w14:textId="502544EB" w:rsidR="00CE5876" w:rsidRDefault="00C54B95" w:rsidP="00C54B95">
      <w:pPr>
        <w:spacing w:after="0" w:line="240" w:lineRule="auto"/>
        <w:ind w:firstLine="426"/>
        <w:jc w:val="both"/>
      </w:pPr>
      <w:r>
        <w:t>Atzīt par spēku zaudējušiem Alūksnes novada pašvaldības domes 2016.</w:t>
      </w:r>
      <w:r w:rsidR="00941E6A">
        <w:t> </w:t>
      </w:r>
      <w:r>
        <w:t>gada 28.</w:t>
      </w:r>
      <w:r w:rsidR="00941E6A">
        <w:t> </w:t>
      </w:r>
      <w:r>
        <w:t>janvāra saistošo</w:t>
      </w:r>
      <w:r w:rsidR="00D92DD5">
        <w:t>s</w:t>
      </w:r>
      <w:r>
        <w:t xml:space="preserve"> noteikumu</w:t>
      </w:r>
      <w:r w:rsidR="00D92DD5">
        <w:t>s</w:t>
      </w:r>
      <w:r w:rsidR="00C8021D">
        <w:t xml:space="preserve"> </w:t>
      </w:r>
      <w:r>
        <w:t>Nr.</w:t>
      </w:r>
      <w:r w:rsidR="00941E6A">
        <w:t> </w:t>
      </w:r>
      <w:r>
        <w:t>2/2016 “Par Alūksnes novada domes saistošo noteikumu publicēšanas vietu”.</w:t>
      </w:r>
    </w:p>
    <w:p w14:paraId="5A37C9D5" w14:textId="6E580FC8" w:rsidR="00DB14DA" w:rsidRDefault="00DB14DA" w:rsidP="00941E6A">
      <w:pPr>
        <w:widowControl w:val="0"/>
        <w:spacing w:after="0" w:line="240" w:lineRule="auto"/>
        <w:rPr>
          <w:rFonts w:eastAsia="Calibri" w:cs="Times New Roman"/>
          <w:b/>
          <w:bCs/>
          <w:color w:val="000000" w:themeColor="text1"/>
          <w:szCs w:val="24"/>
        </w:rPr>
      </w:pPr>
    </w:p>
    <w:p w14:paraId="4362681D" w14:textId="77777777" w:rsidR="00941E6A" w:rsidRDefault="00941E6A" w:rsidP="00941E6A">
      <w:pPr>
        <w:widowControl w:val="0"/>
        <w:spacing w:after="0" w:line="240" w:lineRule="auto"/>
        <w:rPr>
          <w:rFonts w:eastAsia="Calibri" w:cs="Times New Roman"/>
          <w:b/>
          <w:bCs/>
          <w:color w:val="000000" w:themeColor="text1"/>
          <w:szCs w:val="24"/>
        </w:rPr>
      </w:pPr>
    </w:p>
    <w:p w14:paraId="09A77595" w14:textId="09E19995" w:rsidR="001943D9" w:rsidRPr="001943D9" w:rsidRDefault="001943D9" w:rsidP="00941E6A">
      <w:pPr>
        <w:widowControl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  <w:r w:rsidRPr="001943D9">
        <w:rPr>
          <w:rFonts w:eastAsia="Calibri" w:cs="Times New Roman"/>
          <w:b/>
          <w:bCs/>
          <w:color w:val="000000" w:themeColor="text1"/>
          <w:szCs w:val="24"/>
        </w:rPr>
        <w:t>Alūksnes novada pašvaldības domes 2023. gada</w:t>
      </w:r>
      <w:r w:rsidR="00D92DD5">
        <w:rPr>
          <w:rFonts w:eastAsia="Calibri" w:cs="Times New Roman"/>
          <w:b/>
          <w:bCs/>
          <w:color w:val="000000" w:themeColor="text1"/>
          <w:szCs w:val="24"/>
        </w:rPr>
        <w:t xml:space="preserve"> …..</w:t>
      </w:r>
      <w:r w:rsidRPr="001943D9">
        <w:rPr>
          <w:rFonts w:eastAsia="Calibri" w:cs="Times New Roman"/>
          <w:b/>
          <w:bCs/>
          <w:color w:val="000000" w:themeColor="text1"/>
          <w:szCs w:val="24"/>
        </w:rPr>
        <w:t xml:space="preserve">  saistošo noteikumu Nr.…</w:t>
      </w:r>
      <w:r w:rsidR="00941E6A">
        <w:rPr>
          <w:rFonts w:eastAsia="Calibri" w:cs="Times New Roman"/>
          <w:b/>
          <w:bCs/>
          <w:color w:val="000000" w:themeColor="text1"/>
          <w:szCs w:val="24"/>
        </w:rPr>
        <w:t xml:space="preserve"> </w:t>
      </w:r>
      <w:r w:rsidR="00D92DD5" w:rsidRPr="00D92DD5">
        <w:rPr>
          <w:b/>
          <w:bCs/>
        </w:rPr>
        <w:t xml:space="preserve">“Par Alūksnes novada pašvaldības domes 2016. gada 28. janvāra saistošo noteikumu Nr. 2/2016 “Par Alūksnes novada domes saistošo noteikumu publicēšanas vietu” atzīšanu par spēku zaudējušiem” </w:t>
      </w:r>
      <w:r w:rsidRPr="001943D9">
        <w:rPr>
          <w:rFonts w:eastAsia="Calibri" w:cs="Times New Roman"/>
          <w:b/>
          <w:bCs/>
          <w:color w:val="000000" w:themeColor="text1"/>
          <w:szCs w:val="24"/>
        </w:rPr>
        <w:t>paskaidrojuma raksts</w:t>
      </w:r>
    </w:p>
    <w:p w14:paraId="78568468" w14:textId="77777777" w:rsidR="001943D9" w:rsidRPr="001943D9" w:rsidRDefault="001943D9" w:rsidP="001943D9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  <w:lang w:eastAsia="lv-LV"/>
        </w:rPr>
      </w:pPr>
    </w:p>
    <w:tbl>
      <w:tblPr>
        <w:tblW w:w="10028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804"/>
      </w:tblGrid>
      <w:tr w:rsidR="001943D9" w:rsidRPr="001943D9" w14:paraId="6DAC3303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227B39" w14:textId="77777777" w:rsidR="001943D9" w:rsidRPr="001943D9" w:rsidRDefault="001943D9" w:rsidP="001943D9">
            <w:pPr>
              <w:spacing w:after="0" w:line="240" w:lineRule="auto"/>
              <w:ind w:right="39"/>
              <w:jc w:val="center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Paskaidrojuma raksta sadaļa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DE13D9" w14:textId="77777777" w:rsidR="001943D9" w:rsidRPr="001943D9" w:rsidRDefault="001943D9" w:rsidP="001943D9">
            <w:pPr>
              <w:spacing w:after="0" w:line="240" w:lineRule="auto"/>
              <w:ind w:right="102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b/>
                <w:bCs/>
                <w:szCs w:val="24"/>
                <w:lang w:eastAsia="lv-LV"/>
              </w:rPr>
              <w:t>Norādāmā informācija </w:t>
            </w:r>
          </w:p>
        </w:tc>
      </w:tr>
      <w:tr w:rsidR="001943D9" w:rsidRPr="001943D9" w14:paraId="1F3D37D2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2DE95D" w14:textId="77777777" w:rsidR="001943D9" w:rsidRPr="001943D9" w:rsidRDefault="001943D9" w:rsidP="001943D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Mērķis un nepieciešamības pamatojums: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37EE1E" w14:textId="0BA6F26B" w:rsidR="001943D9" w:rsidRPr="00941E6A" w:rsidRDefault="00630D57" w:rsidP="00D70CD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12" w:right="102" w:hanging="412"/>
              <w:jc w:val="both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š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o saistošo noteikumu izdošanas mērķis ir atzīt par spēku zaudējušiem </w:t>
            </w:r>
            <w:r w:rsidR="00D92DD5" w:rsidRPr="00941E6A">
              <w:rPr>
                <w:rFonts w:cs="Times New Roman"/>
                <w:color w:val="000000" w:themeColor="text1"/>
                <w:szCs w:val="24"/>
              </w:rPr>
              <w:t>Alūksnes novada pašvaldības domes 2016. gada 28. janvāra saistošos noteikumus Nr. 2/2016 “Par Alūksnes novada domes saistošo noteikumu publicēšanas vietu”</w:t>
            </w:r>
            <w:r w:rsidRPr="00941E6A">
              <w:rPr>
                <w:rFonts w:cs="Times New Roman"/>
                <w:color w:val="000000" w:themeColor="text1"/>
                <w:szCs w:val="24"/>
              </w:rPr>
              <w:t>;</w:t>
            </w:r>
          </w:p>
          <w:p w14:paraId="2A808363" w14:textId="2250E8B9" w:rsidR="00D92DD5" w:rsidRPr="00630D57" w:rsidRDefault="00630D57" w:rsidP="00D70CD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12" w:right="102" w:hanging="412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aistošo noteikumu izdošanas tiesiskais pamats ir Pašvaldību likums (spēkā no 01.01.2023.), kas nosaka, ka saistošos noteikumu un to paskaidrojumu rakstu izsludina publicējot 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oficiālajā izdevumā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“</w:t>
            </w:r>
            <w:hyperlink r:id="rId6" w:tgtFrame="_blank" w:history="1">
              <w:r w:rsidR="00D92DD5" w:rsidRPr="00941E6A">
                <w:rPr>
                  <w:rFonts w:eastAsia="Times New Roman" w:cs="Times New Roman"/>
                  <w:color w:val="000000" w:themeColor="text1"/>
                  <w:szCs w:val="24"/>
                  <w:lang w:eastAsia="lv-LV"/>
                </w:rPr>
                <w:t>Latvijas Vēstnesis</w:t>
              </w:r>
            </w:hyperlink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”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, līdz ar ko pašvaldībai 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vairs 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nav kompetences noteikt citu publicēšanas vietu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, kā tas bija noteikts likumā “Par pašvaldībām” (zaudējis spēku 01.01.2023.)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 Atbilstoši Pašvaldības likuma Pārejas noteikumu 6.</w:t>
            </w:r>
            <w:r w:rsidR="00BF1137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 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punktam, </w:t>
            </w:r>
            <w:r w:rsidR="00FE30AA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uz likuma “Par pašvaldībām” normu pamata 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iepriekš </w:t>
            </w:r>
            <w:r w:rsidR="00FE30AA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izdotie</w:t>
            </w:r>
            <w:r w:rsidR="00D92DD5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saistošie noteikumi atzīstami par spēku zaudējušiem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941E6A" w:rsidRPr="00941E6A" w14:paraId="36DBB957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933860" w14:textId="03B40F71" w:rsidR="00630D57" w:rsidRPr="001943D9" w:rsidRDefault="00630D57" w:rsidP="00630D5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Fiskālā ietekme uz pašvaldības budžetu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C60C89" w14:textId="6BEE0247" w:rsidR="00630D57" w:rsidRPr="00941E6A" w:rsidRDefault="00630D57" w:rsidP="00630D57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41E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nav, jo saistošo noteikumu publicēšana</w:t>
            </w:r>
            <w:r w:rsidR="00856791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856791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oficiālajā izdevumā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856791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“</w:t>
            </w:r>
            <w:hyperlink r:id="rId7" w:tgtFrame="_blank" w:history="1">
              <w:r w:rsidR="00856791" w:rsidRPr="00941E6A">
                <w:rPr>
                  <w:rFonts w:eastAsia="Times New Roman" w:cs="Times New Roman"/>
                  <w:color w:val="000000" w:themeColor="text1"/>
                  <w:szCs w:val="24"/>
                  <w:lang w:eastAsia="lv-LV"/>
                </w:rPr>
                <w:t>Latvijas Vēstnesis</w:t>
              </w:r>
            </w:hyperlink>
            <w:r w:rsidR="00856791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”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856791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izmaksas saskaņā ar </w:t>
            </w:r>
            <w:r w:rsidR="00856791" w:rsidRPr="00941E6A">
              <w:rPr>
                <w:color w:val="000000" w:themeColor="text1"/>
              </w:rPr>
              <w:t>Oficiālo publikāciju un tiesiskās informācijas likuma 13.</w:t>
            </w:r>
            <w:r w:rsidR="00BF1137">
              <w:rPr>
                <w:color w:val="000000" w:themeColor="text1"/>
              </w:rPr>
              <w:t> </w:t>
            </w:r>
            <w:r w:rsidR="00856791" w:rsidRPr="00941E6A">
              <w:rPr>
                <w:color w:val="000000" w:themeColor="text1"/>
              </w:rPr>
              <w:t xml:space="preserve">pantu pašvaldībai 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ir bez</w:t>
            </w:r>
            <w:r w:rsidR="00FF6729"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941E6A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maksas.</w:t>
            </w:r>
          </w:p>
        </w:tc>
      </w:tr>
      <w:tr w:rsidR="00630D57" w:rsidRPr="001943D9" w14:paraId="198C123E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6202B8" w14:textId="5BBC889D" w:rsidR="00630D57" w:rsidRPr="001943D9" w:rsidRDefault="00630D57" w:rsidP="00630D5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 xml:space="preserve">Sociālā ietekme, ietekme uz vidi, iedzīvotāju veselību, uzņēmējdarbības vidi pašvaldības teritorijā, kā arī plānotā regulējuma 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lastRenderedPageBreak/>
              <w:t>ietekme uz konkurenci</w:t>
            </w:r>
            <w:r w:rsidR="00C318A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CA437D" w14:textId="58E44675" w:rsidR="00630D57" w:rsidRPr="00173FA7" w:rsidRDefault="00C318AF" w:rsidP="00125781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N</w:t>
            </w:r>
            <w:r w:rsidR="00125781">
              <w:rPr>
                <w:rFonts w:eastAsia="Calibri" w:cs="Times New Roman"/>
                <w:szCs w:val="24"/>
              </w:rPr>
              <w:t>av attiecināms.</w:t>
            </w:r>
          </w:p>
        </w:tc>
      </w:tr>
      <w:tr w:rsidR="00630D57" w:rsidRPr="001943D9" w14:paraId="43EA836F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A48381" w14:textId="51B7420E" w:rsidR="00630D57" w:rsidRPr="001943D9" w:rsidRDefault="00630D57" w:rsidP="00630D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Ietekme uz administratīvajām procedūrām un to izmaksām</w:t>
            </w:r>
            <w:r w:rsidR="00C318A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5C16F" w14:textId="086705CE" w:rsidR="00630D57" w:rsidRPr="001943D9" w:rsidRDefault="00C318AF" w:rsidP="00125781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125781">
              <w:rPr>
                <w:rFonts w:eastAsia="Times New Roman" w:cs="Times New Roman"/>
                <w:szCs w:val="24"/>
                <w:lang w:eastAsia="lv-LV"/>
              </w:rPr>
              <w:t>av attiecināms.</w:t>
            </w:r>
          </w:p>
        </w:tc>
      </w:tr>
      <w:tr w:rsidR="00630D57" w:rsidRPr="001943D9" w14:paraId="1E8746FB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C11770" w14:textId="5D1DEFA0" w:rsidR="00630D57" w:rsidRPr="001943D9" w:rsidRDefault="00630D57" w:rsidP="00630D5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Ietekme uz pašvaldības funkcijām un cilvēkresursiem</w:t>
            </w:r>
            <w:r w:rsidR="00C318A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962E9E" w14:textId="797B797F" w:rsidR="00630D57" w:rsidRPr="001943D9" w:rsidRDefault="00C318AF" w:rsidP="00125781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</w:rPr>
              <w:t>N</w:t>
            </w:r>
            <w:r w:rsidR="00125781">
              <w:rPr>
                <w:rFonts w:eastAsia="Calibri" w:cs="Times New Roman"/>
                <w:szCs w:val="24"/>
              </w:rPr>
              <w:t>av attiecināms.</w:t>
            </w:r>
          </w:p>
        </w:tc>
      </w:tr>
      <w:tr w:rsidR="00630D57" w:rsidRPr="001943D9" w14:paraId="51EC6C50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BACE05" w14:textId="0941F833" w:rsidR="00630D57" w:rsidRPr="001943D9" w:rsidRDefault="00630D57" w:rsidP="00630D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Informācija par izpildes nodrošināšanu</w:t>
            </w:r>
            <w:r w:rsidR="00C318A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2E3678" w14:textId="77CF033F" w:rsidR="00630D57" w:rsidRPr="001943D9" w:rsidRDefault="00C318AF" w:rsidP="00125781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</w:rPr>
              <w:t>N</w:t>
            </w:r>
            <w:r w:rsidR="00125781">
              <w:rPr>
                <w:rFonts w:eastAsia="Calibri" w:cs="Times New Roman"/>
                <w:szCs w:val="24"/>
              </w:rPr>
              <w:t>av attiecināms.</w:t>
            </w:r>
          </w:p>
        </w:tc>
      </w:tr>
      <w:tr w:rsidR="00630D57" w:rsidRPr="001943D9" w14:paraId="492571A8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042747" w14:textId="6AD1CB45" w:rsidR="00630D57" w:rsidRPr="001943D9" w:rsidRDefault="00630D57" w:rsidP="00630D57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Prasību un izmaksu samērīgums pret ieguvumiem, ko sniedz mērķa sasniegšana</w:t>
            </w:r>
            <w:r w:rsidR="00C318A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63D66A" w14:textId="1DC5E167" w:rsidR="00630D57" w:rsidRPr="001943D9" w:rsidRDefault="00C318AF" w:rsidP="00125781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</w:rPr>
              <w:t>N</w:t>
            </w:r>
            <w:r w:rsidR="00125781">
              <w:rPr>
                <w:rFonts w:eastAsia="Calibri" w:cs="Times New Roman"/>
                <w:szCs w:val="24"/>
              </w:rPr>
              <w:t>av attiecināms.</w:t>
            </w:r>
          </w:p>
        </w:tc>
      </w:tr>
      <w:tr w:rsidR="00630D57" w:rsidRPr="001943D9" w14:paraId="0E0F4441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860902" w14:textId="4B64EE34" w:rsidR="00630D57" w:rsidRPr="001943D9" w:rsidRDefault="00630D57" w:rsidP="00630D5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Izstrādes gaitā veiktās konsultācijas ar privātpersonām un institūcijām</w:t>
            </w:r>
            <w:r w:rsidR="00C318AF">
              <w:rPr>
                <w:rFonts w:eastAsia="Times New Roman" w:cs="Times New Roman"/>
                <w:szCs w:val="24"/>
                <w:lang w:eastAsia="lv-LV"/>
              </w:rPr>
              <w:t>: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DFDD1E" w14:textId="69315901" w:rsidR="00630D57" w:rsidRPr="00B81C34" w:rsidRDefault="00630D57" w:rsidP="00630D57">
            <w:pPr>
              <w:pStyle w:val="Sarakstarindkopa"/>
              <w:numPr>
                <w:ilvl w:val="1"/>
                <w:numId w:val="22"/>
              </w:numPr>
              <w:spacing w:after="0" w:line="240" w:lineRule="auto"/>
              <w:jc w:val="both"/>
            </w:pPr>
            <w:r w:rsidRPr="00321667">
              <w:rPr>
                <w:rFonts w:eastAsia="Calibri" w:cs="Times New Roman"/>
                <w:color w:val="000000" w:themeColor="text1"/>
                <w:szCs w:val="24"/>
              </w:rPr>
              <w:t>atbilstoši Pašvaldību likuma 46.</w:t>
            </w:r>
            <w:r w:rsidR="00BF1137">
              <w:rPr>
                <w:rFonts w:eastAsia="Calibri" w:cs="Times New Roman"/>
                <w:color w:val="000000" w:themeColor="text1"/>
                <w:szCs w:val="24"/>
              </w:rPr>
              <w:t> </w:t>
            </w:r>
            <w:r w:rsidRPr="00321667">
              <w:rPr>
                <w:rFonts w:eastAsia="Calibri" w:cs="Times New Roman"/>
                <w:color w:val="000000" w:themeColor="text1"/>
                <w:szCs w:val="24"/>
              </w:rPr>
              <w:t xml:space="preserve">panta trešajai daļai </w:t>
            </w:r>
            <w:r>
              <w:t>saistošo noteikumu projekts un to paskaidrojuma raksts sabiedrības viedokļa noskaidrošanai no</w:t>
            </w:r>
            <w:r w:rsidR="001B0691">
              <w:t xml:space="preserve"> </w:t>
            </w:r>
            <w:r w:rsidR="008C7A3C">
              <w:t xml:space="preserve">05.10.2023. </w:t>
            </w:r>
            <w:r>
              <w:t>līdz  </w:t>
            </w:r>
            <w:r w:rsidR="008C7A3C">
              <w:t xml:space="preserve">18.10.2023. </w:t>
            </w:r>
            <w:r>
              <w:t xml:space="preserve">publicēts pašvaldības oficiālajā tīmekļvietnē </w:t>
            </w:r>
            <w:hyperlink r:id="rId8" w:history="1">
              <w:r>
                <w:rPr>
                  <w:rStyle w:val="Hipersaite"/>
                </w:rPr>
                <w:t>www.aluksne.lv</w:t>
              </w:r>
            </w:hyperlink>
            <w:r>
              <w:t xml:space="preserve"> </w:t>
            </w:r>
            <w:r w:rsidRPr="00CF08A9">
              <w:rPr>
                <w:color w:val="000000"/>
              </w:rPr>
              <w:t xml:space="preserve">sadaļā </w:t>
            </w:r>
            <w:r w:rsidRPr="00CF08A9">
              <w:rPr>
                <w:i/>
                <w:iCs/>
              </w:rPr>
              <w:t xml:space="preserve">Sabiedrība/Sabiedrības līdzdalība/Viedokļa izteikšana par saistošo noteikumu </w:t>
            </w:r>
            <w:r>
              <w:t>projektiem</w:t>
            </w:r>
            <w:r w:rsidRPr="00CF08A9">
              <w:rPr>
                <w:rFonts w:eastAsia="Calibri" w:cs="Times New Roman"/>
                <w:color w:val="000000" w:themeColor="text1"/>
                <w:szCs w:val="24"/>
              </w:rPr>
              <w:t>;</w:t>
            </w:r>
          </w:p>
          <w:p w14:paraId="3AE5698E" w14:textId="356F4CC9" w:rsidR="00630D57" w:rsidRPr="00321667" w:rsidRDefault="00630D57" w:rsidP="00630D57">
            <w:pPr>
              <w:pStyle w:val="Sarakstarindkopa"/>
              <w:numPr>
                <w:ilvl w:val="1"/>
                <w:numId w:val="22"/>
              </w:numPr>
              <w:spacing w:after="0" w:line="240" w:lineRule="auto"/>
              <w:jc w:val="both"/>
            </w:pPr>
            <w:r w:rsidRPr="00B81C34">
              <w:rPr>
                <w:rFonts w:eastAsia="Calibri" w:cs="Times New Roman"/>
                <w:color w:val="000000" w:themeColor="text1"/>
                <w:szCs w:val="24"/>
              </w:rPr>
              <w:t xml:space="preserve">viedokli var sniegt </w:t>
            </w:r>
            <w:r w:rsidRPr="00B81C34">
              <w:rPr>
                <w:rFonts w:eastAsia="Calibri" w:cs="Times New Roman"/>
                <w:color w:val="000000"/>
                <w:szCs w:val="24"/>
              </w:rPr>
              <w:t xml:space="preserve">nosūtot pašvaldībai kā elektronisku iesniegumu uz pašvaldības e-adresi, kā elektroniski parakstītu iesniegumu uz pašvaldības e-pasta adresi </w:t>
            </w:r>
            <w:proofErr w:type="spellStart"/>
            <w:r w:rsidRPr="00B81C34">
              <w:rPr>
                <w:rFonts w:eastAsia="Calibri" w:cs="Times New Roman"/>
                <w:color w:val="000000"/>
                <w:szCs w:val="24"/>
              </w:rPr>
              <w:t>priekslikumi@aluksne.lv</w:t>
            </w:r>
            <w:proofErr w:type="spellEnd"/>
            <w:r w:rsidRPr="00B81C34">
              <w:rPr>
                <w:rFonts w:eastAsia="Calibri" w:cs="Times New Roman"/>
                <w:color w:val="000000"/>
                <w:szCs w:val="24"/>
              </w:rPr>
              <w:t>, nogādājot pašvaldībā pašrocīgi parakstītu iesniegumu vai aizpildot iesnieguma veidlapu</w:t>
            </w:r>
            <w:r w:rsidR="00BF113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81C34">
              <w:rPr>
                <w:rFonts w:eastAsia="Calibri" w:cs="Times New Roman"/>
                <w:color w:val="000000"/>
                <w:szCs w:val="24"/>
              </w:rPr>
              <w:t xml:space="preserve">(pieejama arī  </w:t>
            </w:r>
            <w:r w:rsidRPr="00B81C34">
              <w:rPr>
                <w:rFonts w:eastAsia="Calibri" w:cs="Times New Roman"/>
                <w:color w:val="000000" w:themeColor="text1"/>
                <w:szCs w:val="24"/>
              </w:rPr>
              <w:t xml:space="preserve">pašvaldības tīmekļvietnē sadaļā </w:t>
            </w:r>
            <w:r w:rsidRPr="00B81C34">
              <w:rPr>
                <w:rFonts w:eastAsia="Calibri" w:cs="Times New Roman"/>
                <w:i/>
                <w:iCs/>
                <w:color w:val="000000" w:themeColor="text1"/>
                <w:szCs w:val="24"/>
              </w:rPr>
              <w:t>Sabiedrība/Sabiedrības līdzdalība/</w:t>
            </w:r>
            <w:r w:rsidRPr="00B81C34">
              <w:rPr>
                <w:rFonts w:eastAsia="Calibri" w:cs="Times New Roman"/>
                <w:i/>
                <w:iCs/>
                <w:szCs w:val="24"/>
              </w:rPr>
              <w:t xml:space="preserve"> Viedokļa izteikšana par saistošo noteikumu projektiem</w:t>
            </w:r>
            <w:r w:rsidRPr="00B81C34">
              <w:rPr>
                <w:rFonts w:eastAsia="Calibri" w:cs="Times New Roman"/>
                <w:szCs w:val="24"/>
              </w:rPr>
              <w:t>)</w:t>
            </w:r>
            <w:r w:rsidRPr="00B81C34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B81C34">
              <w:rPr>
                <w:rFonts w:eastAsia="Calibri" w:cs="Times New Roman"/>
                <w:color w:val="000000"/>
                <w:szCs w:val="24"/>
              </w:rPr>
              <w:t>kādā no pašvaldības klientu apkalpošanas centriem.</w:t>
            </w:r>
            <w:r>
              <w:t xml:space="preserve"> </w:t>
            </w:r>
          </w:p>
        </w:tc>
      </w:tr>
      <w:tr w:rsidR="00630D57" w:rsidRPr="001943D9" w14:paraId="53B0ADD9" w14:textId="77777777" w:rsidTr="00941E6A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A3904" w14:textId="77777777" w:rsidR="00630D57" w:rsidRPr="001943D9" w:rsidRDefault="00630D57" w:rsidP="00630D5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92" w:right="39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Calibri" w:cs="Times New Roman"/>
                <w:color w:val="000000" w:themeColor="text1"/>
                <w:szCs w:val="24"/>
              </w:rPr>
              <w:t>Informācija par sabiedrības izteiktajiem viedokļiem par saistošo noteikumu projektu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A52A0" w14:textId="3A15C121" w:rsidR="00630D57" w:rsidRPr="001943D9" w:rsidRDefault="008C7A3C" w:rsidP="00630D57">
            <w:pPr>
              <w:widowControl w:val="0"/>
              <w:spacing w:after="0" w:line="240" w:lineRule="auto"/>
              <w:ind w:left="412" w:hanging="412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Sabiedrības viedoklis par saistošo noteikumu projektu nav saņemts.</w:t>
            </w:r>
          </w:p>
        </w:tc>
      </w:tr>
    </w:tbl>
    <w:p w14:paraId="13EFD1BC" w14:textId="484A75FD" w:rsidR="009A7F92" w:rsidRPr="00704A14" w:rsidRDefault="009A7F92" w:rsidP="00BF1137">
      <w:pPr>
        <w:spacing w:after="0" w:line="240" w:lineRule="auto"/>
        <w:jc w:val="both"/>
      </w:pPr>
    </w:p>
    <w:sectPr w:rsidR="009A7F92" w:rsidRPr="00704A14" w:rsidSect="00941E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AC8"/>
    <w:multiLevelType w:val="multilevel"/>
    <w:tmpl w:val="164E2F7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63B7"/>
    <w:multiLevelType w:val="multilevel"/>
    <w:tmpl w:val="578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F0507"/>
    <w:multiLevelType w:val="multilevel"/>
    <w:tmpl w:val="38EE4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115E"/>
    <w:multiLevelType w:val="multilevel"/>
    <w:tmpl w:val="E1AE7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0879F5"/>
    <w:multiLevelType w:val="multilevel"/>
    <w:tmpl w:val="12129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C57A0"/>
    <w:multiLevelType w:val="multilevel"/>
    <w:tmpl w:val="20DC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72783"/>
    <w:multiLevelType w:val="multilevel"/>
    <w:tmpl w:val="F8C08D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747340"/>
    <w:multiLevelType w:val="multilevel"/>
    <w:tmpl w:val="7D72FD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57B49"/>
    <w:multiLevelType w:val="hybridMultilevel"/>
    <w:tmpl w:val="93BAC14A"/>
    <w:lvl w:ilvl="0" w:tplc="ECA629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624761"/>
    <w:multiLevelType w:val="multilevel"/>
    <w:tmpl w:val="1EE8EB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E3157B"/>
    <w:multiLevelType w:val="multilevel"/>
    <w:tmpl w:val="7C24E5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7F451A"/>
    <w:multiLevelType w:val="multilevel"/>
    <w:tmpl w:val="8E480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83BD7"/>
    <w:multiLevelType w:val="multilevel"/>
    <w:tmpl w:val="75360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E0F6C"/>
    <w:multiLevelType w:val="multilevel"/>
    <w:tmpl w:val="30382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7B67B6"/>
    <w:multiLevelType w:val="multilevel"/>
    <w:tmpl w:val="0080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909D2"/>
    <w:multiLevelType w:val="multilevel"/>
    <w:tmpl w:val="9B6E3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B00E9"/>
    <w:multiLevelType w:val="multilevel"/>
    <w:tmpl w:val="E730A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289781">
    <w:abstractNumId w:val="0"/>
  </w:num>
  <w:num w:numId="2" w16cid:durableId="1534729470">
    <w:abstractNumId w:val="12"/>
  </w:num>
  <w:num w:numId="3" w16cid:durableId="245529794">
    <w:abstractNumId w:val="2"/>
  </w:num>
  <w:num w:numId="4" w16cid:durableId="1756823979">
    <w:abstractNumId w:val="9"/>
  </w:num>
  <w:num w:numId="5" w16cid:durableId="1731228324">
    <w:abstractNumId w:val="17"/>
  </w:num>
  <w:num w:numId="6" w16cid:durableId="910577414">
    <w:abstractNumId w:val="16"/>
  </w:num>
  <w:num w:numId="7" w16cid:durableId="169488666">
    <w:abstractNumId w:val="19"/>
  </w:num>
  <w:num w:numId="8" w16cid:durableId="1218779486">
    <w:abstractNumId w:val="21"/>
  </w:num>
  <w:num w:numId="9" w16cid:durableId="523979313">
    <w:abstractNumId w:val="18"/>
  </w:num>
  <w:num w:numId="10" w16cid:durableId="992100339">
    <w:abstractNumId w:val="7"/>
  </w:num>
  <w:num w:numId="11" w16cid:durableId="583538170">
    <w:abstractNumId w:val="20"/>
  </w:num>
  <w:num w:numId="12" w16cid:durableId="581522977">
    <w:abstractNumId w:val="3"/>
  </w:num>
  <w:num w:numId="13" w16cid:durableId="741831183">
    <w:abstractNumId w:val="13"/>
  </w:num>
  <w:num w:numId="14" w16cid:durableId="1801269088">
    <w:abstractNumId w:val="8"/>
  </w:num>
  <w:num w:numId="15" w16cid:durableId="1929655579">
    <w:abstractNumId w:val="5"/>
  </w:num>
  <w:num w:numId="16" w16cid:durableId="1097367524">
    <w:abstractNumId w:val="1"/>
  </w:num>
  <w:num w:numId="17" w16cid:durableId="1892382887">
    <w:abstractNumId w:val="6"/>
  </w:num>
  <w:num w:numId="18" w16cid:durableId="1105614739">
    <w:abstractNumId w:val="11"/>
  </w:num>
  <w:num w:numId="19" w16cid:durableId="624432250">
    <w:abstractNumId w:val="4"/>
  </w:num>
  <w:num w:numId="20" w16cid:durableId="946932199">
    <w:abstractNumId w:val="14"/>
  </w:num>
  <w:num w:numId="21" w16cid:durableId="277563911">
    <w:abstractNumId w:val="15"/>
  </w:num>
  <w:num w:numId="22" w16cid:durableId="1675690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14"/>
    <w:rsid w:val="00035BDB"/>
    <w:rsid w:val="00062AAC"/>
    <w:rsid w:val="00071E66"/>
    <w:rsid w:val="0007439B"/>
    <w:rsid w:val="000B3264"/>
    <w:rsid w:val="000D4C22"/>
    <w:rsid w:val="0010236B"/>
    <w:rsid w:val="00113E4B"/>
    <w:rsid w:val="00120E4F"/>
    <w:rsid w:val="00125781"/>
    <w:rsid w:val="00163E9F"/>
    <w:rsid w:val="00165FE4"/>
    <w:rsid w:val="00173FA7"/>
    <w:rsid w:val="00175466"/>
    <w:rsid w:val="001943D9"/>
    <w:rsid w:val="001A4DD2"/>
    <w:rsid w:val="001B0632"/>
    <w:rsid w:val="001B0691"/>
    <w:rsid w:val="001B4CD0"/>
    <w:rsid w:val="001C3898"/>
    <w:rsid w:val="001C48C1"/>
    <w:rsid w:val="001C5BCA"/>
    <w:rsid w:val="001D0AC9"/>
    <w:rsid w:val="001D5F0D"/>
    <w:rsid w:val="001E0576"/>
    <w:rsid w:val="00201D1F"/>
    <w:rsid w:val="0021194C"/>
    <w:rsid w:val="002362FA"/>
    <w:rsid w:val="00243EA7"/>
    <w:rsid w:val="00256135"/>
    <w:rsid w:val="00273E03"/>
    <w:rsid w:val="002749BF"/>
    <w:rsid w:val="002A27AF"/>
    <w:rsid w:val="002B0B62"/>
    <w:rsid w:val="002C1618"/>
    <w:rsid w:val="002C352E"/>
    <w:rsid w:val="002F6850"/>
    <w:rsid w:val="00304F48"/>
    <w:rsid w:val="00321667"/>
    <w:rsid w:val="0032539D"/>
    <w:rsid w:val="00386395"/>
    <w:rsid w:val="003C766A"/>
    <w:rsid w:val="003D5FA0"/>
    <w:rsid w:val="003E1FD8"/>
    <w:rsid w:val="003E286A"/>
    <w:rsid w:val="004241D5"/>
    <w:rsid w:val="00431B28"/>
    <w:rsid w:val="004456E2"/>
    <w:rsid w:val="004B0100"/>
    <w:rsid w:val="004C2C0D"/>
    <w:rsid w:val="004C5029"/>
    <w:rsid w:val="00506159"/>
    <w:rsid w:val="005417E9"/>
    <w:rsid w:val="00542E18"/>
    <w:rsid w:val="0055036B"/>
    <w:rsid w:val="005520A9"/>
    <w:rsid w:val="00573A5C"/>
    <w:rsid w:val="005D18FF"/>
    <w:rsid w:val="005F6360"/>
    <w:rsid w:val="006007A8"/>
    <w:rsid w:val="00604864"/>
    <w:rsid w:val="006121F6"/>
    <w:rsid w:val="00626651"/>
    <w:rsid w:val="00630C9A"/>
    <w:rsid w:val="00630D57"/>
    <w:rsid w:val="00641395"/>
    <w:rsid w:val="00652EE3"/>
    <w:rsid w:val="00657A9D"/>
    <w:rsid w:val="00675845"/>
    <w:rsid w:val="00687EB7"/>
    <w:rsid w:val="006B4B25"/>
    <w:rsid w:val="006C43B1"/>
    <w:rsid w:val="006E4125"/>
    <w:rsid w:val="006E594A"/>
    <w:rsid w:val="00704A14"/>
    <w:rsid w:val="007074A3"/>
    <w:rsid w:val="00721A53"/>
    <w:rsid w:val="00727F54"/>
    <w:rsid w:val="00735A44"/>
    <w:rsid w:val="00737E55"/>
    <w:rsid w:val="00784DCE"/>
    <w:rsid w:val="007D5CC5"/>
    <w:rsid w:val="007E339E"/>
    <w:rsid w:val="007E5F44"/>
    <w:rsid w:val="007F15DE"/>
    <w:rsid w:val="00810DFE"/>
    <w:rsid w:val="0083102D"/>
    <w:rsid w:val="008335F1"/>
    <w:rsid w:val="008442AA"/>
    <w:rsid w:val="00856791"/>
    <w:rsid w:val="00864987"/>
    <w:rsid w:val="008663AD"/>
    <w:rsid w:val="008C4080"/>
    <w:rsid w:val="008C7A3C"/>
    <w:rsid w:val="008D422B"/>
    <w:rsid w:val="008D7B09"/>
    <w:rsid w:val="008E7520"/>
    <w:rsid w:val="00922F70"/>
    <w:rsid w:val="00931417"/>
    <w:rsid w:val="00941E6A"/>
    <w:rsid w:val="00967435"/>
    <w:rsid w:val="00967495"/>
    <w:rsid w:val="009724A4"/>
    <w:rsid w:val="009A7F92"/>
    <w:rsid w:val="009B2E9D"/>
    <w:rsid w:val="009D7947"/>
    <w:rsid w:val="009E4151"/>
    <w:rsid w:val="00A07F01"/>
    <w:rsid w:val="00A347C2"/>
    <w:rsid w:val="00A55781"/>
    <w:rsid w:val="00A659C7"/>
    <w:rsid w:val="00A80B84"/>
    <w:rsid w:val="00A9060B"/>
    <w:rsid w:val="00AA204B"/>
    <w:rsid w:val="00AE074E"/>
    <w:rsid w:val="00AF30A8"/>
    <w:rsid w:val="00AF478E"/>
    <w:rsid w:val="00B02279"/>
    <w:rsid w:val="00B0337C"/>
    <w:rsid w:val="00B257A5"/>
    <w:rsid w:val="00B26659"/>
    <w:rsid w:val="00B53EDA"/>
    <w:rsid w:val="00B81C34"/>
    <w:rsid w:val="00B90A7B"/>
    <w:rsid w:val="00B95475"/>
    <w:rsid w:val="00BA19F7"/>
    <w:rsid w:val="00BA1BE2"/>
    <w:rsid w:val="00BC3F4D"/>
    <w:rsid w:val="00BE680D"/>
    <w:rsid w:val="00BF1137"/>
    <w:rsid w:val="00BF32B2"/>
    <w:rsid w:val="00BF3EF1"/>
    <w:rsid w:val="00BF7DC0"/>
    <w:rsid w:val="00C0594F"/>
    <w:rsid w:val="00C11A93"/>
    <w:rsid w:val="00C26197"/>
    <w:rsid w:val="00C318AF"/>
    <w:rsid w:val="00C3414A"/>
    <w:rsid w:val="00C400DB"/>
    <w:rsid w:val="00C45320"/>
    <w:rsid w:val="00C5276A"/>
    <w:rsid w:val="00C54B95"/>
    <w:rsid w:val="00C67584"/>
    <w:rsid w:val="00C8021D"/>
    <w:rsid w:val="00C87D1C"/>
    <w:rsid w:val="00C87F40"/>
    <w:rsid w:val="00CB29A1"/>
    <w:rsid w:val="00CD3DE3"/>
    <w:rsid w:val="00CE1125"/>
    <w:rsid w:val="00CE5876"/>
    <w:rsid w:val="00CF08A9"/>
    <w:rsid w:val="00D02D2F"/>
    <w:rsid w:val="00D11DF7"/>
    <w:rsid w:val="00D22DFD"/>
    <w:rsid w:val="00D25AD7"/>
    <w:rsid w:val="00D26C83"/>
    <w:rsid w:val="00D30CF0"/>
    <w:rsid w:val="00D41016"/>
    <w:rsid w:val="00D52E19"/>
    <w:rsid w:val="00D56E23"/>
    <w:rsid w:val="00D634A7"/>
    <w:rsid w:val="00D70CD6"/>
    <w:rsid w:val="00D92DD5"/>
    <w:rsid w:val="00DA679A"/>
    <w:rsid w:val="00DB0CBC"/>
    <w:rsid w:val="00DB14DA"/>
    <w:rsid w:val="00DC6C95"/>
    <w:rsid w:val="00DE4A1D"/>
    <w:rsid w:val="00E009B4"/>
    <w:rsid w:val="00E023E2"/>
    <w:rsid w:val="00E332BF"/>
    <w:rsid w:val="00E33A08"/>
    <w:rsid w:val="00E417EB"/>
    <w:rsid w:val="00E63D09"/>
    <w:rsid w:val="00E71218"/>
    <w:rsid w:val="00E72D86"/>
    <w:rsid w:val="00E91085"/>
    <w:rsid w:val="00EA7CA6"/>
    <w:rsid w:val="00EB6835"/>
    <w:rsid w:val="00EF36BD"/>
    <w:rsid w:val="00F160CB"/>
    <w:rsid w:val="00F179CB"/>
    <w:rsid w:val="00F24DBD"/>
    <w:rsid w:val="00F65431"/>
    <w:rsid w:val="00F67FB4"/>
    <w:rsid w:val="00F75C0B"/>
    <w:rsid w:val="00F803B1"/>
    <w:rsid w:val="00F87841"/>
    <w:rsid w:val="00F93511"/>
    <w:rsid w:val="00FB3D56"/>
    <w:rsid w:val="00FD00B0"/>
    <w:rsid w:val="00FD7E85"/>
    <w:rsid w:val="00FE30AA"/>
    <w:rsid w:val="00FF2A26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D6156"/>
  <w15:chartTrackingRefBased/>
  <w15:docId w15:val="{36A3ADCB-70DC-47AF-B94C-31A6F158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337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A7CA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A7CA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967435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1D5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sne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3397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3397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B167-E286-4952-9C38-286935E3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EGLE</dc:creator>
  <cp:keywords/>
  <dc:description/>
  <cp:lastModifiedBy>Everita BALANDE</cp:lastModifiedBy>
  <cp:revision>2</cp:revision>
  <cp:lastPrinted>2023-03-22T11:52:00Z</cp:lastPrinted>
  <dcterms:created xsi:type="dcterms:W3CDTF">2023-10-20T12:30:00Z</dcterms:created>
  <dcterms:modified xsi:type="dcterms:W3CDTF">2023-10-20T12:30:00Z</dcterms:modified>
</cp:coreProperties>
</file>