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5ED1" w14:textId="3086D15F" w:rsidR="000966C6" w:rsidRDefault="000966C6" w:rsidP="000966C6">
      <w:pPr>
        <w:spacing w:after="0" w:line="240" w:lineRule="auto"/>
        <w:jc w:val="right"/>
        <w:rPr>
          <w:i/>
          <w:iCs/>
        </w:rPr>
      </w:pPr>
      <w:r w:rsidRPr="000966C6">
        <w:rPr>
          <w:i/>
          <w:iCs/>
        </w:rPr>
        <w:t>Lēmuma projekts</w:t>
      </w:r>
    </w:p>
    <w:p w14:paraId="3F1B054D" w14:textId="77777777" w:rsidR="000966C6" w:rsidRPr="000966C6" w:rsidRDefault="000966C6" w:rsidP="000966C6">
      <w:pPr>
        <w:spacing w:after="0" w:line="240" w:lineRule="auto"/>
        <w:jc w:val="right"/>
        <w:rPr>
          <w:i/>
          <w:iCs/>
        </w:rPr>
      </w:pPr>
    </w:p>
    <w:p w14:paraId="706BD48A" w14:textId="6AD331F4" w:rsidR="008E23D5" w:rsidRDefault="00B9123C" w:rsidP="000966C6">
      <w:pPr>
        <w:spacing w:after="0" w:line="240" w:lineRule="auto"/>
        <w:jc w:val="center"/>
        <w:rPr>
          <w:b/>
          <w:bCs/>
        </w:rPr>
      </w:pPr>
      <w:r w:rsidRPr="00B9123C">
        <w:rPr>
          <w:b/>
          <w:bCs/>
        </w:rPr>
        <w:t>Par Licencēšanas komisija</w:t>
      </w:r>
      <w:r w:rsidR="00E637D2">
        <w:rPr>
          <w:b/>
          <w:bCs/>
        </w:rPr>
        <w:t>s</w:t>
      </w:r>
      <w:r w:rsidRPr="00B9123C">
        <w:rPr>
          <w:b/>
          <w:bCs/>
        </w:rPr>
        <w:t xml:space="preserve"> nolikuma </w:t>
      </w:r>
      <w:r w:rsidR="00E637D2">
        <w:rPr>
          <w:b/>
          <w:bCs/>
        </w:rPr>
        <w:t>izdošanu</w:t>
      </w:r>
    </w:p>
    <w:p w14:paraId="625BD95A" w14:textId="77777777" w:rsidR="00B9123C" w:rsidRPr="00B9123C" w:rsidRDefault="00B9123C" w:rsidP="000966C6">
      <w:pPr>
        <w:spacing w:after="0" w:line="240" w:lineRule="auto"/>
        <w:jc w:val="center"/>
        <w:rPr>
          <w:b/>
          <w:bCs/>
        </w:rPr>
      </w:pPr>
    </w:p>
    <w:p w14:paraId="120DDFDB" w14:textId="385120C5" w:rsidR="00B9123C" w:rsidRDefault="00B9123C" w:rsidP="000966C6">
      <w:pPr>
        <w:spacing w:after="0" w:line="240" w:lineRule="auto"/>
        <w:ind w:firstLine="720"/>
        <w:jc w:val="both"/>
      </w:pPr>
      <w:r>
        <w:t xml:space="preserve">Pamatojoties uz </w:t>
      </w:r>
      <w:r w:rsidR="00C66BC8">
        <w:t xml:space="preserve"> Valsts pārvaldes iekārtas likuma 73.</w:t>
      </w:r>
      <w:r w:rsidR="000966C6">
        <w:t> </w:t>
      </w:r>
      <w:r w:rsidR="00C66BC8">
        <w:t>panta</w:t>
      </w:r>
      <w:r w:rsidR="000966C6">
        <w:t xml:space="preserve"> </w:t>
      </w:r>
      <w:r w:rsidR="00C66BC8">
        <w:t>pirmās da</w:t>
      </w:r>
      <w:r w:rsidR="00E637D2">
        <w:t>ļa</w:t>
      </w:r>
      <w:r w:rsidR="00C66BC8">
        <w:t>s 1.punktu</w:t>
      </w:r>
      <w:r w:rsidR="00E637D2">
        <w:t>,</w:t>
      </w:r>
    </w:p>
    <w:p w14:paraId="0C573B5D" w14:textId="77777777" w:rsidR="00B9123C" w:rsidRDefault="00B9123C" w:rsidP="000966C6">
      <w:pPr>
        <w:spacing w:after="0" w:line="240" w:lineRule="auto"/>
        <w:jc w:val="both"/>
      </w:pPr>
    </w:p>
    <w:p w14:paraId="6CFFC322" w14:textId="3C7EFABC" w:rsidR="00B9123C" w:rsidRDefault="00E637D2" w:rsidP="000966C6">
      <w:pPr>
        <w:spacing w:after="0" w:line="240" w:lineRule="auto"/>
        <w:ind w:firstLine="720"/>
        <w:jc w:val="both"/>
      </w:pPr>
      <w:r>
        <w:t xml:space="preserve">Izdot </w:t>
      </w:r>
      <w:r w:rsidR="00B9123C">
        <w:t>Alūksnes novada pašvaldības Licencēšanas komisija</w:t>
      </w:r>
      <w:r>
        <w:t>s</w:t>
      </w:r>
      <w:r w:rsidR="00A916C3">
        <w:t xml:space="preserve"> </w:t>
      </w:r>
      <w:r w:rsidR="00B9123C">
        <w:t>nolikumu</w:t>
      </w:r>
      <w:r>
        <w:t xml:space="preserve"> (pielikumā uz 3 lapām)</w:t>
      </w:r>
      <w:r w:rsidR="00B9123C">
        <w:t>.</w:t>
      </w:r>
    </w:p>
    <w:p w14:paraId="307D2AC4" w14:textId="77777777" w:rsidR="00B9123C" w:rsidRDefault="00B9123C" w:rsidP="000966C6">
      <w:pPr>
        <w:spacing w:after="0" w:line="240" w:lineRule="auto"/>
        <w:jc w:val="both"/>
      </w:pPr>
    </w:p>
    <w:p w14:paraId="218B7FF3" w14:textId="77777777" w:rsidR="00B9123C" w:rsidRDefault="00B9123C" w:rsidP="000966C6">
      <w:pPr>
        <w:spacing w:after="0" w:line="240" w:lineRule="auto"/>
        <w:jc w:val="both"/>
      </w:pPr>
    </w:p>
    <w:p w14:paraId="5CCF444E" w14:textId="022DFCD7" w:rsidR="00B9123C" w:rsidRDefault="00B9123C" w:rsidP="000966C6">
      <w:pPr>
        <w:spacing w:after="0" w:line="240" w:lineRule="auto"/>
        <w:jc w:val="both"/>
      </w:pPr>
      <w:r>
        <w:t>Domes priekšsēdētājs</w:t>
      </w:r>
      <w:r>
        <w:tab/>
      </w:r>
      <w:r>
        <w:tab/>
      </w:r>
      <w:r>
        <w:tab/>
      </w:r>
      <w:r>
        <w:tab/>
      </w:r>
      <w:r>
        <w:tab/>
      </w:r>
      <w:r>
        <w:tab/>
      </w:r>
      <w:r>
        <w:tab/>
      </w:r>
      <w:r w:rsidR="000966C6">
        <w:tab/>
      </w:r>
      <w:r w:rsidR="000966C6">
        <w:tab/>
      </w:r>
      <w:proofErr w:type="spellStart"/>
      <w:r>
        <w:t>Dz.ADLERS</w:t>
      </w:r>
      <w:proofErr w:type="spellEnd"/>
    </w:p>
    <w:p w14:paraId="3949630D" w14:textId="4F69C43D" w:rsidR="000966C6" w:rsidRDefault="000966C6" w:rsidP="000966C6">
      <w:pPr>
        <w:spacing w:after="0" w:line="240" w:lineRule="auto"/>
        <w:jc w:val="both"/>
      </w:pPr>
    </w:p>
    <w:p w14:paraId="29D68BE9" w14:textId="449A7EFC" w:rsidR="000966C6" w:rsidRDefault="000966C6">
      <w:pPr>
        <w:rPr>
          <w:rFonts w:eastAsia="Times New Roman" w:cs="Times New Roman"/>
          <w:b/>
          <w:kern w:val="0"/>
          <w:szCs w:val="24"/>
          <w14:ligatures w14:val="none"/>
        </w:rPr>
      </w:pPr>
      <w:r>
        <w:rPr>
          <w:rFonts w:eastAsia="Times New Roman" w:cs="Times New Roman"/>
          <w:b/>
          <w:kern w:val="0"/>
          <w:szCs w:val="24"/>
          <w14:ligatures w14:val="none"/>
        </w:rPr>
        <w:br w:type="page"/>
      </w:r>
    </w:p>
    <w:p w14:paraId="27C2238F" w14:textId="77777777" w:rsidR="000966C6" w:rsidRPr="000966C6" w:rsidRDefault="000966C6" w:rsidP="000966C6">
      <w:pPr>
        <w:spacing w:after="0" w:line="240" w:lineRule="auto"/>
        <w:jc w:val="center"/>
        <w:rPr>
          <w:rFonts w:eastAsia="Times New Roman" w:cs="Times New Roman"/>
          <w:b/>
          <w:kern w:val="0"/>
          <w:sz w:val="28"/>
          <w:szCs w:val="28"/>
          <w14:ligatures w14:val="none"/>
        </w:rPr>
      </w:pPr>
      <w:r w:rsidRPr="000966C6">
        <w:rPr>
          <w:rFonts w:eastAsia="Times New Roman" w:cs="Times New Roman"/>
          <w:b/>
          <w:kern w:val="0"/>
          <w:sz w:val="28"/>
          <w:szCs w:val="28"/>
          <w:lang w:val="en-US"/>
          <w14:ligatures w14:val="none"/>
        </w:rPr>
        <w:lastRenderedPageBreak/>
        <w:t>LICENCĒŠANAS KOMISIJAS</w:t>
      </w:r>
    </w:p>
    <w:p w14:paraId="5DDAFBF1" w14:textId="77777777" w:rsidR="000966C6" w:rsidRPr="000966C6" w:rsidRDefault="000966C6" w:rsidP="000966C6">
      <w:pPr>
        <w:keepNext/>
        <w:spacing w:after="0" w:line="240" w:lineRule="auto"/>
        <w:jc w:val="center"/>
        <w:outlineLvl w:val="1"/>
        <w:rPr>
          <w:rFonts w:eastAsia="Times New Roman" w:cs="Times New Roman"/>
          <w:b/>
          <w:kern w:val="0"/>
          <w:sz w:val="28"/>
          <w:szCs w:val="28"/>
          <w14:ligatures w14:val="none"/>
        </w:rPr>
      </w:pPr>
      <w:smartTag w:uri="schemas-tilde-lv/tildestengine" w:element="veidnes">
        <w:smartTagPr>
          <w:attr w:name="text" w:val="NOLIKUMS&#10;"/>
          <w:attr w:name="baseform" w:val="nolikums"/>
          <w:attr w:name="id" w:val="-1"/>
        </w:smartTagPr>
        <w:r w:rsidRPr="000966C6">
          <w:rPr>
            <w:rFonts w:eastAsia="Times New Roman" w:cs="Times New Roman"/>
            <w:b/>
            <w:kern w:val="0"/>
            <w:sz w:val="28"/>
            <w:szCs w:val="28"/>
            <w14:ligatures w14:val="none"/>
          </w:rPr>
          <w:t>NOLIKUMS</w:t>
        </w:r>
      </w:smartTag>
    </w:p>
    <w:p w14:paraId="350021F8" w14:textId="77777777" w:rsidR="000966C6" w:rsidRPr="000966C6" w:rsidRDefault="000966C6" w:rsidP="000966C6">
      <w:pPr>
        <w:spacing w:after="0" w:line="240" w:lineRule="auto"/>
        <w:jc w:val="right"/>
        <w:rPr>
          <w:rFonts w:eastAsia="Times New Roman" w:cs="Times New Roman"/>
          <w:kern w:val="0"/>
          <w:sz w:val="22"/>
          <w:szCs w:val="20"/>
          <w14:ligatures w14:val="none"/>
        </w:rPr>
      </w:pPr>
    </w:p>
    <w:p w14:paraId="612403A1" w14:textId="77777777" w:rsidR="000966C6" w:rsidRPr="000966C6" w:rsidRDefault="000966C6" w:rsidP="000966C6">
      <w:pPr>
        <w:spacing w:after="0" w:line="240" w:lineRule="auto"/>
        <w:jc w:val="right"/>
        <w:rPr>
          <w:rFonts w:eastAsia="Times New Roman" w:cs="Times New Roman"/>
          <w:i/>
          <w:iCs/>
          <w:kern w:val="0"/>
          <w14:ligatures w14:val="none"/>
        </w:rPr>
      </w:pPr>
      <w:r w:rsidRPr="000966C6">
        <w:rPr>
          <w:rFonts w:eastAsia="Times New Roman" w:cs="Times New Roman"/>
          <w:i/>
          <w:iCs/>
          <w:kern w:val="0"/>
          <w14:ligatures w14:val="none"/>
        </w:rPr>
        <w:t>Izdots pamatojoties uz Valsts pārvaldes iekārtas likuma</w:t>
      </w:r>
    </w:p>
    <w:p w14:paraId="3DAC1DD7" w14:textId="77777777" w:rsidR="000966C6" w:rsidRPr="000966C6" w:rsidRDefault="000966C6" w:rsidP="000966C6">
      <w:pPr>
        <w:spacing w:after="0" w:line="240" w:lineRule="auto"/>
        <w:jc w:val="right"/>
        <w:rPr>
          <w:rFonts w:eastAsia="Times New Roman" w:cs="Times New Roman"/>
          <w:i/>
          <w:iCs/>
          <w:kern w:val="0"/>
          <w14:ligatures w14:val="none"/>
        </w:rPr>
      </w:pPr>
      <w:r w:rsidRPr="000966C6">
        <w:rPr>
          <w:rFonts w:eastAsia="Times New Roman" w:cs="Times New Roman"/>
          <w:i/>
          <w:iCs/>
          <w:kern w:val="0"/>
          <w14:ligatures w14:val="none"/>
        </w:rPr>
        <w:t xml:space="preserve"> 73.panta pirmās daļas 1.punktu</w:t>
      </w:r>
    </w:p>
    <w:p w14:paraId="0F019F98" w14:textId="77777777" w:rsidR="000966C6" w:rsidRPr="000966C6" w:rsidRDefault="000966C6" w:rsidP="000966C6">
      <w:pPr>
        <w:spacing w:after="0" w:line="240" w:lineRule="auto"/>
        <w:jc w:val="both"/>
        <w:rPr>
          <w:rFonts w:eastAsia="Times New Roman" w:cs="Times New Roman"/>
          <w:i/>
          <w:iCs/>
          <w:kern w:val="0"/>
          <w14:ligatures w14:val="none"/>
        </w:rPr>
      </w:pPr>
    </w:p>
    <w:p w14:paraId="4C543F91" w14:textId="77777777" w:rsidR="000966C6" w:rsidRPr="000966C6" w:rsidRDefault="000966C6" w:rsidP="000966C6">
      <w:pPr>
        <w:numPr>
          <w:ilvl w:val="0"/>
          <w:numId w:val="3"/>
        </w:numPr>
        <w:spacing w:after="0" w:line="240" w:lineRule="auto"/>
        <w:jc w:val="center"/>
        <w:rPr>
          <w:rFonts w:eastAsia="Times New Roman" w:cs="Times New Roman"/>
          <w:b/>
          <w:kern w:val="0"/>
          <w:szCs w:val="24"/>
          <w14:ligatures w14:val="none"/>
        </w:rPr>
      </w:pPr>
      <w:r w:rsidRPr="000966C6">
        <w:rPr>
          <w:rFonts w:eastAsia="Times New Roman" w:cs="Times New Roman"/>
          <w:b/>
          <w:kern w:val="0"/>
          <w:szCs w:val="24"/>
          <w14:ligatures w14:val="none"/>
        </w:rPr>
        <w:t>Vispārīgie noteikumi</w:t>
      </w:r>
    </w:p>
    <w:p w14:paraId="3C33BEE6" w14:textId="77777777" w:rsidR="000966C6" w:rsidRPr="000966C6" w:rsidRDefault="000966C6" w:rsidP="000966C6">
      <w:pPr>
        <w:spacing w:after="0" w:line="240" w:lineRule="auto"/>
        <w:rPr>
          <w:rFonts w:eastAsia="Times New Roman" w:cs="Times New Roman"/>
          <w:b/>
          <w:kern w:val="0"/>
          <w:szCs w:val="24"/>
          <w14:ligatures w14:val="none"/>
        </w:rPr>
      </w:pPr>
    </w:p>
    <w:p w14:paraId="282F5526"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 xml:space="preserve">Licencēšanas komisija (turpmāk - komisija) ir ar </w:t>
      </w:r>
      <w:bookmarkStart w:id="0" w:name="_Hlk133590664"/>
      <w:r w:rsidRPr="000966C6">
        <w:rPr>
          <w:rFonts w:eastAsia="Times New Roman" w:cs="Times New Roman"/>
          <w:kern w:val="0"/>
          <w:szCs w:val="24"/>
          <w14:ligatures w14:val="none"/>
        </w:rPr>
        <w:t>Alūksnes novada pašvaldības</w:t>
      </w:r>
      <w:r w:rsidRPr="000966C6">
        <w:rPr>
          <w:rFonts w:eastAsia="Times New Roman" w:cs="Times New Roman"/>
          <w:color w:val="FF0000"/>
          <w:kern w:val="0"/>
          <w:szCs w:val="24"/>
          <w14:ligatures w14:val="none"/>
        </w:rPr>
        <w:t xml:space="preserve"> </w:t>
      </w:r>
      <w:r w:rsidRPr="000966C6">
        <w:rPr>
          <w:rFonts w:eastAsia="Times New Roman" w:cs="Times New Roman"/>
          <w:kern w:val="0"/>
          <w:szCs w:val="24"/>
          <w14:ligatures w14:val="none"/>
        </w:rPr>
        <w:t xml:space="preserve">domes </w:t>
      </w:r>
      <w:bookmarkEnd w:id="0"/>
      <w:r w:rsidRPr="000966C6">
        <w:rPr>
          <w:rFonts w:eastAsia="Times New Roman" w:cs="Times New Roman"/>
          <w:kern w:val="0"/>
          <w:szCs w:val="24"/>
          <w14:ligatures w14:val="none"/>
        </w:rPr>
        <w:t>lēmumu izveidota pašvaldības institūcija, kas realizē pašvaldības obligāto funkciju – izsniegt atļaujas un licences uzņēmējdarbībai, ja tas paredzēts normatīvajos aktos, un nodrošina normatīvajos aktos paredzētajos gadījumos pašvaldības saskaņojuma, atzinuma, atļaujas un citu akceptējumu izsniegšanu.</w:t>
      </w:r>
    </w:p>
    <w:p w14:paraId="3AE2533E"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Par komisijas locekļiem ar Alūksnes novada pašvaldības domes lēmumu</w:t>
      </w:r>
      <w:r w:rsidRPr="000966C6">
        <w:rPr>
          <w:rFonts w:eastAsia="Times New Roman" w:cs="Times New Roman"/>
          <w:color w:val="FF0000"/>
          <w:kern w:val="0"/>
          <w:szCs w:val="24"/>
          <w14:ligatures w14:val="none"/>
        </w:rPr>
        <w:t xml:space="preserve"> </w:t>
      </w:r>
      <w:r w:rsidRPr="000966C6">
        <w:rPr>
          <w:rFonts w:eastAsia="Times New Roman" w:cs="Times New Roman"/>
          <w:kern w:val="0"/>
          <w:szCs w:val="24"/>
          <w14:ligatures w14:val="none"/>
        </w:rPr>
        <w:t xml:space="preserve">ievēl personas, kuras ir kompetentas licencēšanas un atļauju izsniegšanas jautājumos un pašvaldības darbā. </w:t>
      </w:r>
    </w:p>
    <w:p w14:paraId="17A05375" w14:textId="77777777" w:rsidR="000966C6" w:rsidRPr="000966C6" w:rsidRDefault="000966C6" w:rsidP="000966C6">
      <w:pPr>
        <w:numPr>
          <w:ilvl w:val="1"/>
          <w:numId w:val="2"/>
        </w:numPr>
        <w:spacing w:after="0" w:line="240" w:lineRule="auto"/>
        <w:jc w:val="both"/>
        <w:rPr>
          <w:rFonts w:eastAsia="Times New Roman" w:cs="Times New Roman"/>
          <w:color w:val="000000"/>
          <w:kern w:val="0"/>
          <w:szCs w:val="24"/>
          <w14:ligatures w14:val="none"/>
        </w:rPr>
      </w:pPr>
      <w:r w:rsidRPr="000966C6">
        <w:rPr>
          <w:rFonts w:eastAsia="Times New Roman" w:cs="Times New Roman"/>
          <w:color w:val="000000"/>
          <w:kern w:val="0"/>
          <w:szCs w:val="24"/>
          <w14:ligatures w14:val="none"/>
        </w:rPr>
        <w:t>Komisijas priekšsēdētāju un viņa vietnieku ievēl komisija no sava vidus ar vienkāršu balsu vairākumu.</w:t>
      </w:r>
    </w:p>
    <w:p w14:paraId="7CAE727D"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Darbam par komisijas sekretāru tiek piesaistīts Alūksnes novada pašvaldības Centrālās administrācijas speciālists.</w:t>
      </w:r>
    </w:p>
    <w:p w14:paraId="4B6B0E16"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savus uzdevumus veic pastāvīgi, kā arī sadarbībā ar citām valsts un pašvaldību institūcijām.</w:t>
      </w:r>
    </w:p>
    <w:p w14:paraId="65083263"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savā darbībā ievēro Latvijas Republikā spēkā esošos normatīvos aktus, Alūksnes novada pašvaldības</w:t>
      </w:r>
      <w:r w:rsidRPr="000966C6">
        <w:rPr>
          <w:rFonts w:eastAsia="Times New Roman" w:cs="Times New Roman"/>
          <w:color w:val="FF0000"/>
          <w:kern w:val="0"/>
          <w:szCs w:val="24"/>
          <w14:ligatures w14:val="none"/>
        </w:rPr>
        <w:t xml:space="preserve"> </w:t>
      </w:r>
      <w:r w:rsidRPr="000966C6">
        <w:rPr>
          <w:rFonts w:eastAsia="Times New Roman" w:cs="Times New Roman"/>
          <w:kern w:val="0"/>
          <w:szCs w:val="24"/>
          <w14:ligatures w14:val="none"/>
        </w:rPr>
        <w:t>domes lēmumu, šo nolikumu un citus Alūksnes novada pašvaldības darba organizāciju regulējošos iekšējos normatīvos aktus.</w:t>
      </w:r>
    </w:p>
    <w:p w14:paraId="0681FC5A"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Komisijas darbības tiesiskais pamats ir komisijas nolikums.</w:t>
      </w:r>
    </w:p>
    <w:p w14:paraId="43BAA9E3"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Komisijas darbība tiek finansēta no Alūksnes novada pašvaldības budžeta līdzekļiem Alūksnes novada pašvaldības</w:t>
      </w:r>
      <w:r w:rsidRPr="000966C6">
        <w:rPr>
          <w:rFonts w:eastAsia="Times New Roman" w:cs="Times New Roman"/>
          <w:color w:val="FF0000"/>
          <w:kern w:val="0"/>
          <w:szCs w:val="24"/>
          <w14:ligatures w14:val="none"/>
        </w:rPr>
        <w:t xml:space="preserve"> </w:t>
      </w:r>
      <w:r w:rsidRPr="000966C6">
        <w:rPr>
          <w:rFonts w:eastAsia="Times New Roman" w:cs="Times New Roman"/>
          <w:kern w:val="0"/>
          <w:szCs w:val="24"/>
          <w14:ligatures w14:val="none"/>
        </w:rPr>
        <w:t>domes noteiktajā kārtībā.</w:t>
      </w:r>
    </w:p>
    <w:p w14:paraId="6B145536" w14:textId="77777777" w:rsidR="000966C6" w:rsidRPr="000966C6" w:rsidRDefault="000966C6" w:rsidP="000966C6">
      <w:pPr>
        <w:spacing w:after="0" w:line="240" w:lineRule="auto"/>
        <w:ind w:left="420"/>
        <w:jc w:val="both"/>
        <w:rPr>
          <w:rFonts w:eastAsia="Times New Roman" w:cs="Times New Roman"/>
          <w:kern w:val="0"/>
          <w:szCs w:val="24"/>
          <w14:ligatures w14:val="none"/>
        </w:rPr>
      </w:pPr>
    </w:p>
    <w:p w14:paraId="0615DA1A" w14:textId="77777777" w:rsidR="000966C6" w:rsidRPr="000966C6" w:rsidRDefault="000966C6" w:rsidP="000966C6">
      <w:pPr>
        <w:tabs>
          <w:tab w:val="num" w:pos="360"/>
        </w:tabs>
        <w:spacing w:after="0" w:line="240" w:lineRule="auto"/>
        <w:ind w:left="360" w:hanging="360"/>
        <w:jc w:val="center"/>
        <w:rPr>
          <w:rFonts w:eastAsia="Times New Roman" w:cs="Times New Roman"/>
          <w:b/>
          <w:kern w:val="0"/>
          <w:szCs w:val="24"/>
          <w14:ligatures w14:val="none"/>
        </w:rPr>
      </w:pPr>
    </w:p>
    <w:p w14:paraId="0F5CD710" w14:textId="77777777" w:rsidR="000966C6" w:rsidRPr="000966C6" w:rsidRDefault="000966C6" w:rsidP="000966C6">
      <w:pPr>
        <w:numPr>
          <w:ilvl w:val="0"/>
          <w:numId w:val="3"/>
        </w:numPr>
        <w:spacing w:after="0" w:line="240" w:lineRule="auto"/>
        <w:jc w:val="center"/>
        <w:rPr>
          <w:rFonts w:eastAsia="Times New Roman" w:cs="Times New Roman"/>
          <w:b/>
          <w:kern w:val="0"/>
          <w:szCs w:val="24"/>
          <w14:ligatures w14:val="none"/>
        </w:rPr>
      </w:pPr>
      <w:r w:rsidRPr="000966C6">
        <w:rPr>
          <w:rFonts w:eastAsia="Times New Roman" w:cs="Times New Roman"/>
          <w:b/>
          <w:kern w:val="0"/>
          <w:szCs w:val="24"/>
          <w14:ligatures w14:val="none"/>
        </w:rPr>
        <w:t>Komisijas kompetence</w:t>
      </w:r>
    </w:p>
    <w:p w14:paraId="77B33C74" w14:textId="77777777" w:rsidR="000966C6" w:rsidRPr="000966C6" w:rsidRDefault="000966C6" w:rsidP="000966C6">
      <w:pPr>
        <w:spacing w:after="0" w:line="240" w:lineRule="auto"/>
        <w:jc w:val="center"/>
        <w:rPr>
          <w:rFonts w:eastAsia="Times New Roman" w:cs="Times New Roman"/>
          <w:b/>
          <w:kern w:val="0"/>
          <w:szCs w:val="24"/>
          <w14:ligatures w14:val="none"/>
        </w:rPr>
      </w:pPr>
    </w:p>
    <w:p w14:paraId="32231E76" w14:textId="77777777" w:rsidR="000966C6" w:rsidRPr="000966C6" w:rsidRDefault="000966C6" w:rsidP="000966C6">
      <w:pPr>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ir tiesīga normatīvajos aktos un komisijas nolikumā paredzētajos gadījumus pieņemt lēmumu par:</w:t>
      </w:r>
    </w:p>
    <w:p w14:paraId="08545323" w14:textId="77777777" w:rsidR="000966C6" w:rsidRPr="000966C6" w:rsidRDefault="000966C6" w:rsidP="000966C6">
      <w:pPr>
        <w:spacing w:after="0" w:line="240" w:lineRule="auto"/>
        <w:ind w:firstLine="420"/>
        <w:jc w:val="both"/>
        <w:rPr>
          <w:rFonts w:eastAsia="Times New Roman" w:cs="Times New Roman"/>
          <w:kern w:val="0"/>
          <w:szCs w:val="24"/>
          <w14:ligatures w14:val="none"/>
        </w:rPr>
      </w:pPr>
      <w:r w:rsidRPr="000966C6">
        <w:rPr>
          <w:rFonts w:eastAsia="Times New Roman" w:cs="Times New Roman"/>
          <w:kern w:val="0"/>
          <w:szCs w:val="24"/>
          <w14:ligatures w14:val="none"/>
        </w:rPr>
        <w:t>9.1.atļauju (licenču) izsniegšanu;</w:t>
      </w:r>
    </w:p>
    <w:p w14:paraId="26061705" w14:textId="77777777" w:rsidR="000966C6" w:rsidRPr="000966C6" w:rsidRDefault="000966C6" w:rsidP="000966C6">
      <w:pPr>
        <w:spacing w:after="0" w:line="240" w:lineRule="auto"/>
        <w:ind w:left="420"/>
        <w:jc w:val="both"/>
        <w:rPr>
          <w:rFonts w:eastAsia="Times New Roman" w:cs="Times New Roman"/>
          <w:kern w:val="0"/>
          <w:szCs w:val="24"/>
          <w14:ligatures w14:val="none"/>
        </w:rPr>
      </w:pPr>
      <w:r w:rsidRPr="000966C6">
        <w:rPr>
          <w:rFonts w:eastAsia="Times New Roman" w:cs="Times New Roman"/>
          <w:kern w:val="0"/>
          <w:szCs w:val="24"/>
          <w14:ligatures w14:val="none"/>
        </w:rPr>
        <w:t>9.2.par piekrišanu vai atzinuma izsniegšanu normatīvajos aktos noteiktai uzņēmējdarbības veikšanai Alūksnes novada administratīvajā teritorijā;</w:t>
      </w:r>
    </w:p>
    <w:p w14:paraId="52ADE239" w14:textId="77777777" w:rsidR="000966C6" w:rsidRPr="000966C6" w:rsidRDefault="000966C6" w:rsidP="000966C6">
      <w:pPr>
        <w:spacing w:after="0" w:line="240" w:lineRule="auto"/>
        <w:ind w:firstLine="420"/>
        <w:jc w:val="both"/>
        <w:rPr>
          <w:rFonts w:eastAsia="Times New Roman" w:cs="Times New Roman"/>
          <w:kern w:val="0"/>
          <w:szCs w:val="24"/>
          <w14:ligatures w14:val="none"/>
        </w:rPr>
      </w:pPr>
      <w:r w:rsidRPr="000966C6">
        <w:rPr>
          <w:rFonts w:eastAsia="Times New Roman" w:cs="Times New Roman"/>
          <w:kern w:val="0"/>
          <w:szCs w:val="24"/>
          <w14:ligatures w14:val="none"/>
        </w:rPr>
        <w:t>9.3. atļauju ielu vai izbraukuma tirdzniecībai;</w:t>
      </w:r>
    </w:p>
    <w:p w14:paraId="73CC8284" w14:textId="77777777" w:rsidR="000966C6" w:rsidRPr="000966C6" w:rsidRDefault="000966C6" w:rsidP="000966C6">
      <w:pPr>
        <w:spacing w:after="0" w:line="240" w:lineRule="auto"/>
        <w:ind w:firstLine="420"/>
        <w:jc w:val="both"/>
        <w:rPr>
          <w:rFonts w:eastAsia="Times New Roman" w:cs="Times New Roman"/>
          <w:kern w:val="0"/>
          <w:szCs w:val="24"/>
          <w14:ligatures w14:val="none"/>
        </w:rPr>
      </w:pPr>
      <w:r w:rsidRPr="000966C6">
        <w:rPr>
          <w:rFonts w:eastAsia="Times New Roman" w:cs="Times New Roman"/>
          <w:kern w:val="0"/>
          <w:szCs w:val="24"/>
          <w14:ligatures w14:val="none"/>
        </w:rPr>
        <w:t>9.4.atļaujas izsniegšanu izklaidējoša pasākuma rīkošanai publiskās vietās;</w:t>
      </w:r>
    </w:p>
    <w:p w14:paraId="07B7EBAE" w14:textId="77777777" w:rsidR="000966C6" w:rsidRPr="000966C6" w:rsidRDefault="000966C6" w:rsidP="000966C6">
      <w:pPr>
        <w:spacing w:after="0" w:line="240" w:lineRule="auto"/>
        <w:ind w:left="420"/>
        <w:jc w:val="both"/>
        <w:rPr>
          <w:rFonts w:eastAsia="Times New Roman" w:cs="Times New Roman"/>
          <w:kern w:val="0"/>
          <w:szCs w:val="24"/>
          <w14:ligatures w14:val="none"/>
        </w:rPr>
      </w:pPr>
      <w:r w:rsidRPr="000966C6">
        <w:rPr>
          <w:rFonts w:eastAsia="Times New Roman" w:cs="Times New Roman"/>
          <w:kern w:val="0"/>
          <w:szCs w:val="24"/>
          <w14:ligatures w14:val="none"/>
        </w:rPr>
        <w:t xml:space="preserve">9.5.atļaujas izsniegšanu iebraukšanai Alūksnes </w:t>
      </w:r>
      <w:proofErr w:type="spellStart"/>
      <w:r w:rsidRPr="000966C6">
        <w:rPr>
          <w:rFonts w:eastAsia="Times New Roman" w:cs="Times New Roman"/>
          <w:kern w:val="0"/>
          <w:szCs w:val="24"/>
          <w14:ligatures w14:val="none"/>
        </w:rPr>
        <w:t>Pilssalā</w:t>
      </w:r>
      <w:proofErr w:type="spellEnd"/>
      <w:r w:rsidRPr="000966C6">
        <w:rPr>
          <w:rFonts w:eastAsia="Times New Roman" w:cs="Times New Roman"/>
          <w:kern w:val="0"/>
          <w:szCs w:val="24"/>
          <w14:ligatures w14:val="none"/>
        </w:rPr>
        <w:t xml:space="preserve">, Alūksnes Muižas parkā, </w:t>
      </w:r>
      <w:proofErr w:type="spellStart"/>
      <w:r w:rsidRPr="000966C6">
        <w:rPr>
          <w:rFonts w:eastAsia="Times New Roman" w:cs="Times New Roman"/>
          <w:kern w:val="0"/>
          <w:szCs w:val="24"/>
          <w14:ligatures w14:val="none"/>
        </w:rPr>
        <w:t>Tempļakalna</w:t>
      </w:r>
      <w:proofErr w:type="spellEnd"/>
      <w:r w:rsidRPr="000966C6">
        <w:rPr>
          <w:rFonts w:eastAsia="Times New Roman" w:cs="Times New Roman"/>
          <w:kern w:val="0"/>
          <w:szCs w:val="24"/>
          <w14:ligatures w14:val="none"/>
        </w:rPr>
        <w:t xml:space="preserve"> parkā un Alūksnes Lielajos un Mazajos kapos;</w:t>
      </w:r>
    </w:p>
    <w:p w14:paraId="35D93114" w14:textId="77777777" w:rsidR="000966C6" w:rsidRPr="000966C6" w:rsidRDefault="000966C6" w:rsidP="000966C6">
      <w:pPr>
        <w:spacing w:after="0" w:line="240" w:lineRule="auto"/>
        <w:ind w:left="420"/>
        <w:jc w:val="both"/>
        <w:rPr>
          <w:rFonts w:eastAsia="Times New Roman" w:cs="Times New Roman"/>
          <w:kern w:val="0"/>
          <w:szCs w:val="24"/>
          <w14:ligatures w14:val="none"/>
        </w:rPr>
      </w:pPr>
      <w:r w:rsidRPr="000966C6">
        <w:rPr>
          <w:rFonts w:eastAsia="Times New Roman" w:cs="Times New Roman"/>
          <w:kern w:val="0"/>
          <w:szCs w:val="24"/>
          <w14:ligatures w14:val="none"/>
        </w:rPr>
        <w:t>9.6.atļaujas izsniegšanu Alūksnes pilsētas, novada, teritoriālo vienību simbolikas izmantošanai;</w:t>
      </w:r>
    </w:p>
    <w:p w14:paraId="683C8EF3" w14:textId="66ACD84E" w:rsidR="000966C6" w:rsidRPr="000966C6" w:rsidRDefault="000966C6" w:rsidP="000966C6">
      <w:pPr>
        <w:spacing w:after="0" w:line="240" w:lineRule="auto"/>
        <w:ind w:left="420"/>
        <w:jc w:val="both"/>
        <w:rPr>
          <w:rFonts w:eastAsia="Times New Roman" w:cs="Times New Roman"/>
          <w:kern w:val="0"/>
          <w:szCs w:val="24"/>
          <w14:ligatures w14:val="none"/>
        </w:rPr>
      </w:pPr>
      <w:r w:rsidRPr="000966C6">
        <w:rPr>
          <w:rFonts w:eastAsia="Times New Roman" w:cs="Times New Roman"/>
          <w:kern w:val="0"/>
          <w:szCs w:val="24"/>
          <w14:ligatures w14:val="none"/>
        </w:rPr>
        <w:t>9.7.transportlīdzekļu satiksmes aizliegšanu vai ierobežošanu uz pašvaldības ielām un ceļiem laikā, kad notiek publiski pasākumi</w:t>
      </w:r>
      <w:r w:rsidR="00573098">
        <w:rPr>
          <w:rFonts w:eastAsia="Times New Roman" w:cs="Times New Roman"/>
          <w:kern w:val="0"/>
          <w:szCs w:val="24"/>
          <w14:ligatures w14:val="none"/>
        </w:rPr>
        <w:t xml:space="preserve"> vai</w:t>
      </w:r>
      <w:r w:rsidRPr="000966C6">
        <w:rPr>
          <w:rFonts w:eastAsia="Times New Roman" w:cs="Times New Roman"/>
          <w:kern w:val="0"/>
          <w:szCs w:val="24"/>
          <w14:ligatures w14:val="none"/>
        </w:rPr>
        <w:t xml:space="preserve"> citā laikā;</w:t>
      </w:r>
    </w:p>
    <w:p w14:paraId="7644F370" w14:textId="77777777" w:rsidR="000966C6" w:rsidRPr="000966C6" w:rsidRDefault="000966C6" w:rsidP="000966C6">
      <w:pPr>
        <w:spacing w:after="0" w:line="240" w:lineRule="auto"/>
        <w:ind w:firstLine="420"/>
        <w:jc w:val="both"/>
        <w:rPr>
          <w:rFonts w:eastAsia="Times New Roman" w:cs="Times New Roman"/>
          <w:kern w:val="0"/>
          <w:szCs w:val="24"/>
          <w14:ligatures w14:val="none"/>
        </w:rPr>
      </w:pPr>
      <w:r w:rsidRPr="000966C6">
        <w:rPr>
          <w:rFonts w:eastAsia="Times New Roman" w:cs="Times New Roman"/>
          <w:kern w:val="0"/>
          <w:szCs w:val="24"/>
          <w14:ligatures w14:val="none"/>
        </w:rPr>
        <w:t>9.8.izziņas izsniegšanu sapulces, gājiena vai piketa rīkošanai;</w:t>
      </w:r>
    </w:p>
    <w:p w14:paraId="4E3C16DC" w14:textId="77777777" w:rsidR="000966C6" w:rsidRPr="000966C6" w:rsidRDefault="000966C6" w:rsidP="000966C6">
      <w:pPr>
        <w:spacing w:after="0" w:line="240" w:lineRule="auto"/>
        <w:ind w:firstLine="420"/>
        <w:jc w:val="both"/>
        <w:rPr>
          <w:rFonts w:eastAsia="Times New Roman" w:cs="Times New Roman"/>
          <w:kern w:val="0"/>
          <w:szCs w:val="24"/>
          <w14:ligatures w14:val="none"/>
        </w:rPr>
      </w:pPr>
      <w:r w:rsidRPr="000966C6">
        <w:rPr>
          <w:rFonts w:eastAsia="Times New Roman" w:cs="Times New Roman"/>
          <w:kern w:val="0"/>
          <w:szCs w:val="24"/>
          <w14:ligatures w14:val="none"/>
        </w:rPr>
        <w:t xml:space="preserve">9.9.citos pašvaldības noteiktos jautājumos;  </w:t>
      </w:r>
    </w:p>
    <w:p w14:paraId="7245C378" w14:textId="77777777" w:rsidR="000966C6" w:rsidRPr="000966C6" w:rsidRDefault="000966C6" w:rsidP="000966C6">
      <w:pPr>
        <w:spacing w:after="0" w:line="240" w:lineRule="auto"/>
        <w:ind w:left="420"/>
        <w:jc w:val="both"/>
        <w:rPr>
          <w:rFonts w:eastAsia="Times New Roman" w:cs="Times New Roman"/>
          <w:kern w:val="0"/>
          <w:szCs w:val="24"/>
          <w14:ligatures w14:val="none"/>
        </w:rPr>
      </w:pPr>
      <w:r w:rsidRPr="000966C6">
        <w:rPr>
          <w:rFonts w:eastAsia="Times New Roman" w:cs="Times New Roman"/>
          <w:kern w:val="0"/>
          <w:szCs w:val="24"/>
          <w14:ligatures w14:val="none"/>
        </w:rPr>
        <w:t>9.10.izsniegtās licences uzņēmējdarbības veikšanai Alūksnes novada administratīvajā teritorijā anulēšanu.</w:t>
      </w:r>
    </w:p>
    <w:p w14:paraId="578AA050" w14:textId="53887625"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piemēro pašvaldības nodev</w:t>
      </w:r>
      <w:r w:rsidR="007F5F02">
        <w:rPr>
          <w:rFonts w:eastAsia="Times New Roman" w:cs="Times New Roman"/>
          <w:kern w:val="0"/>
          <w:szCs w:val="24"/>
          <w14:ligatures w14:val="none"/>
        </w:rPr>
        <w:t>u</w:t>
      </w:r>
      <w:r w:rsidRPr="000966C6">
        <w:rPr>
          <w:rFonts w:eastAsia="Times New Roman" w:cs="Times New Roman"/>
          <w:kern w:val="0"/>
          <w:szCs w:val="24"/>
          <w14:ligatures w14:val="none"/>
        </w:rPr>
        <w:t xml:space="preserve"> tās kompetencē esošajās lietās.</w:t>
      </w:r>
    </w:p>
    <w:p w14:paraId="4568CE0F" w14:textId="5CE0B66D"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 xml:space="preserve">Komisija iesniedz </w:t>
      </w:r>
      <w:r w:rsidRPr="000966C6">
        <w:rPr>
          <w:rFonts w:eastAsia="Times New Roman" w:cs="Times New Roman"/>
          <w:color w:val="000000"/>
          <w:kern w:val="0"/>
          <w:szCs w:val="24"/>
          <w14:ligatures w14:val="none"/>
        </w:rPr>
        <w:t>Alūksnes novada pašvaldības</w:t>
      </w:r>
      <w:r w:rsidRPr="000966C6">
        <w:rPr>
          <w:rFonts w:eastAsia="Times New Roman" w:cs="Times New Roman"/>
          <w:color w:val="FF0000"/>
          <w:kern w:val="0"/>
          <w:szCs w:val="24"/>
          <w14:ligatures w14:val="none"/>
        </w:rPr>
        <w:t xml:space="preserve"> </w:t>
      </w:r>
      <w:r w:rsidRPr="000966C6">
        <w:rPr>
          <w:rFonts w:eastAsia="Times New Roman" w:cs="Times New Roman"/>
          <w:kern w:val="0"/>
          <w:szCs w:val="24"/>
          <w14:ligatures w14:val="none"/>
        </w:rPr>
        <w:t>domei priekšlikumus komisijas darba organizācijas uzlabošanai.</w:t>
      </w:r>
    </w:p>
    <w:p w14:paraId="60B600F8" w14:textId="19ACE3F7"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ierosina pašvaldības saistošo noteikumu, noteikumu, nolikumu, lēmumu, instrukciju izdošanu tās kompetencē esošos jautājumos.</w:t>
      </w:r>
    </w:p>
    <w:p w14:paraId="41501D09" w14:textId="7C561F99"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 xml:space="preserve">Komisija pieprasa un saņem </w:t>
      </w:r>
      <w:r w:rsidR="000C23F9">
        <w:rPr>
          <w:rFonts w:eastAsia="Times New Roman" w:cs="Times New Roman"/>
          <w:kern w:val="0"/>
          <w:szCs w:val="24"/>
          <w14:ligatures w14:val="none"/>
        </w:rPr>
        <w:t xml:space="preserve"> normatīvajos aktos noteiktajā kārtībā</w:t>
      </w:r>
      <w:r w:rsidRPr="000966C6">
        <w:rPr>
          <w:rFonts w:eastAsia="Times New Roman" w:cs="Times New Roman"/>
          <w:kern w:val="0"/>
          <w:szCs w:val="24"/>
          <w14:ligatures w14:val="none"/>
        </w:rPr>
        <w:t xml:space="preserve"> lēmumu pieņemšanai nepieciešamo informāciju, pārbauda saņemto dokumentu un to saturošās informācijas patiesumu.</w:t>
      </w:r>
    </w:p>
    <w:p w14:paraId="3976AE2C" w14:textId="15E6C674"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lastRenderedPageBreak/>
        <w:t>Komisija izstrādā un apstiprina komisijas sarakstes un dokumentu veidlapas.</w:t>
      </w:r>
    </w:p>
    <w:p w14:paraId="1904A7E7" w14:textId="2C357EB2"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Uz komisijas veidlapām paraksta tiesības ir komisijas priekšsēdētājam (viņa prombūtnes laikā – vietniekam).</w:t>
      </w:r>
    </w:p>
    <w:p w14:paraId="62A9FB31" w14:textId="77777777" w:rsidR="000966C6" w:rsidRPr="000966C6" w:rsidRDefault="000966C6" w:rsidP="000966C6">
      <w:pPr>
        <w:spacing w:after="0" w:line="240" w:lineRule="auto"/>
        <w:jc w:val="both"/>
        <w:rPr>
          <w:rFonts w:eastAsia="Times New Roman" w:cs="Times New Roman"/>
          <w:kern w:val="0"/>
          <w:szCs w:val="24"/>
          <w14:ligatures w14:val="none"/>
        </w:rPr>
      </w:pPr>
    </w:p>
    <w:p w14:paraId="2E16826F" w14:textId="77777777" w:rsidR="000966C6" w:rsidRPr="000966C6" w:rsidRDefault="000966C6" w:rsidP="000966C6">
      <w:pPr>
        <w:tabs>
          <w:tab w:val="num" w:pos="360"/>
        </w:tabs>
        <w:spacing w:after="0" w:line="240" w:lineRule="auto"/>
        <w:rPr>
          <w:rFonts w:eastAsia="Times New Roman" w:cs="Times New Roman"/>
          <w:b/>
          <w:kern w:val="0"/>
          <w:szCs w:val="24"/>
          <w14:ligatures w14:val="none"/>
        </w:rPr>
      </w:pPr>
    </w:p>
    <w:p w14:paraId="3096AAED" w14:textId="77777777" w:rsidR="000966C6" w:rsidRPr="000966C6" w:rsidRDefault="000966C6" w:rsidP="000966C6">
      <w:pPr>
        <w:numPr>
          <w:ilvl w:val="0"/>
          <w:numId w:val="3"/>
        </w:numPr>
        <w:spacing w:after="0" w:line="240" w:lineRule="auto"/>
        <w:jc w:val="center"/>
        <w:rPr>
          <w:rFonts w:eastAsia="Times New Roman" w:cs="Times New Roman"/>
          <w:b/>
          <w:kern w:val="0"/>
          <w:szCs w:val="24"/>
          <w14:ligatures w14:val="none"/>
        </w:rPr>
      </w:pPr>
      <w:r w:rsidRPr="000966C6">
        <w:rPr>
          <w:rFonts w:eastAsia="Times New Roman" w:cs="Times New Roman"/>
          <w:b/>
          <w:kern w:val="0"/>
          <w:szCs w:val="24"/>
          <w14:ligatures w14:val="none"/>
        </w:rPr>
        <w:t>Komisijas darba reglaments</w:t>
      </w:r>
    </w:p>
    <w:p w14:paraId="1F280E55" w14:textId="77777777" w:rsidR="000966C6" w:rsidRPr="000966C6" w:rsidRDefault="000966C6" w:rsidP="000966C6">
      <w:pPr>
        <w:spacing w:after="0" w:line="240" w:lineRule="auto"/>
        <w:jc w:val="both"/>
        <w:rPr>
          <w:rFonts w:eastAsia="Times New Roman" w:cs="Times New Roman"/>
          <w:b/>
          <w:kern w:val="0"/>
          <w:szCs w:val="24"/>
          <w14:ligatures w14:val="none"/>
        </w:rPr>
      </w:pPr>
    </w:p>
    <w:p w14:paraId="5EBA8A40" w14:textId="3801EEF8"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Komisijas sēdes sasauc un to biežumu nosaka komisijas priekšsēdētājs atkarībā no saņemto pieteikumu daudzuma un izskatīšanas termiņiem.</w:t>
      </w:r>
    </w:p>
    <w:p w14:paraId="35569C02" w14:textId="30E23513"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Komisijas sēdi vada komisijas priekšsēdētājs, bet viņa prombūtnes laikā – komisijas priekšsēdētāja vietnieks.</w:t>
      </w:r>
    </w:p>
    <w:p w14:paraId="56ABBBA3" w14:textId="4681938D"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w:t>
      </w:r>
      <w:r w:rsidR="007F5F02">
        <w:rPr>
          <w:rFonts w:eastAsia="Times New Roman" w:cs="Times New Roman"/>
          <w:kern w:val="0"/>
          <w:szCs w:val="24"/>
          <w14:ligatures w14:val="none"/>
        </w:rPr>
        <w:t>s sēdes</w:t>
      </w:r>
      <w:r w:rsidRPr="000966C6">
        <w:rPr>
          <w:rFonts w:eastAsia="Times New Roman" w:cs="Times New Roman"/>
          <w:kern w:val="0"/>
          <w:szCs w:val="24"/>
          <w14:ligatures w14:val="none"/>
        </w:rPr>
        <w:t xml:space="preserve"> </w:t>
      </w:r>
      <w:r w:rsidR="007F5F02">
        <w:rPr>
          <w:rFonts w:eastAsia="Times New Roman" w:cs="Times New Roman"/>
          <w:kern w:val="0"/>
          <w:szCs w:val="24"/>
          <w14:ligatures w14:val="none"/>
        </w:rPr>
        <w:t xml:space="preserve">ir </w:t>
      </w:r>
      <w:r w:rsidRPr="000966C6">
        <w:rPr>
          <w:rFonts w:eastAsia="Times New Roman" w:cs="Times New Roman"/>
          <w:kern w:val="0"/>
          <w:szCs w:val="24"/>
          <w14:ligatures w14:val="none"/>
        </w:rPr>
        <w:t>atklāt</w:t>
      </w:r>
      <w:r w:rsidR="007F5F02">
        <w:rPr>
          <w:rFonts w:eastAsia="Times New Roman" w:cs="Times New Roman"/>
          <w:kern w:val="0"/>
          <w:szCs w:val="24"/>
          <w14:ligatures w14:val="none"/>
        </w:rPr>
        <w:t>as</w:t>
      </w:r>
      <w:r w:rsidRPr="000966C6">
        <w:rPr>
          <w:rFonts w:eastAsia="Times New Roman" w:cs="Times New Roman"/>
          <w:kern w:val="0"/>
          <w:szCs w:val="24"/>
          <w14:ligatures w14:val="none"/>
        </w:rPr>
        <w:t>, izņemot jautājumus, kas skar personas privāto dzīvi, komercnoslēpumus vai citu informāciju, kuras izpaušana ir aizliegta saskaņā ar likumu.</w:t>
      </w:r>
    </w:p>
    <w:p w14:paraId="154A3DED" w14:textId="1400B3A6"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Komisijas sēdes tiek protokolētas. Protokolu paraksta visi sēdē piedalījušies komisijas locekļi.</w:t>
      </w:r>
    </w:p>
    <w:p w14:paraId="5C365B2D" w14:textId="768B32EB"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sagatavo izsniegšanai paredzētos dokumentus un nodrošina izsniegto atļauju (licenču) uzskaiti.</w:t>
      </w:r>
    </w:p>
    <w:p w14:paraId="2C54C263" w14:textId="140D2DDF" w:rsidR="000966C6" w:rsidRPr="000966C6" w:rsidRDefault="000966C6" w:rsidP="007F5F02">
      <w:pPr>
        <w:pStyle w:val="Sarakstarindkopa"/>
        <w:spacing w:after="0" w:line="240" w:lineRule="auto"/>
        <w:ind w:left="420"/>
        <w:jc w:val="both"/>
        <w:rPr>
          <w:rFonts w:eastAsia="Times New Roman" w:cs="Times New Roman"/>
          <w:kern w:val="0"/>
          <w:szCs w:val="24"/>
          <w14:ligatures w14:val="none"/>
        </w:rPr>
      </w:pPr>
    </w:p>
    <w:p w14:paraId="4AB21F2A" w14:textId="77777777" w:rsidR="000966C6" w:rsidRPr="000966C6" w:rsidRDefault="000966C6" w:rsidP="000966C6">
      <w:pPr>
        <w:spacing w:after="0" w:line="240" w:lineRule="auto"/>
        <w:ind w:left="426" w:hanging="426"/>
        <w:rPr>
          <w:rFonts w:eastAsia="Times New Roman" w:cs="Times New Roman"/>
          <w:b/>
          <w:kern w:val="0"/>
          <w:szCs w:val="24"/>
          <w14:ligatures w14:val="none"/>
        </w:rPr>
      </w:pPr>
    </w:p>
    <w:p w14:paraId="2E6267E0" w14:textId="77777777" w:rsidR="000966C6" w:rsidRPr="000966C6" w:rsidRDefault="000966C6" w:rsidP="000966C6">
      <w:pPr>
        <w:numPr>
          <w:ilvl w:val="0"/>
          <w:numId w:val="3"/>
        </w:numPr>
        <w:spacing w:after="0" w:line="240" w:lineRule="auto"/>
        <w:jc w:val="center"/>
        <w:rPr>
          <w:rFonts w:eastAsia="Times New Roman" w:cs="Times New Roman"/>
          <w:b/>
          <w:kern w:val="0"/>
          <w:szCs w:val="24"/>
          <w14:ligatures w14:val="none"/>
        </w:rPr>
      </w:pPr>
      <w:r w:rsidRPr="000966C6">
        <w:rPr>
          <w:rFonts w:eastAsia="Times New Roman" w:cs="Times New Roman"/>
          <w:b/>
          <w:kern w:val="0"/>
          <w:szCs w:val="24"/>
          <w14:ligatures w14:val="none"/>
        </w:rPr>
        <w:t>Lēmumu pieņemšana</w:t>
      </w:r>
    </w:p>
    <w:p w14:paraId="1037B925" w14:textId="77777777" w:rsidR="000966C6" w:rsidRPr="000966C6" w:rsidRDefault="000966C6" w:rsidP="000966C6">
      <w:pPr>
        <w:spacing w:after="0" w:line="240" w:lineRule="auto"/>
        <w:jc w:val="center"/>
        <w:rPr>
          <w:rFonts w:eastAsia="Times New Roman" w:cs="Times New Roman"/>
          <w:b/>
          <w:kern w:val="0"/>
          <w:szCs w:val="24"/>
          <w14:ligatures w14:val="none"/>
        </w:rPr>
      </w:pPr>
    </w:p>
    <w:p w14:paraId="44C67FD5" w14:textId="6E5316F3"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Pieņemot lēmumu par licences un izziņas par pašvaldības piekrišanu uzņēmējdarbības veikšanai komisija vadās pēc normatīvajiem aktiem un Alūksnes novada pašvaldības domes</w:t>
      </w:r>
      <w:r w:rsidRPr="000966C6">
        <w:rPr>
          <w:rFonts w:eastAsia="Times New Roman" w:cs="Times New Roman"/>
          <w:color w:val="FF0000"/>
          <w:kern w:val="0"/>
          <w:szCs w:val="24"/>
          <w14:ligatures w14:val="none"/>
        </w:rPr>
        <w:t xml:space="preserve"> </w:t>
      </w:r>
      <w:r w:rsidRPr="000966C6">
        <w:rPr>
          <w:rFonts w:eastAsia="Times New Roman" w:cs="Times New Roman"/>
          <w:kern w:val="0"/>
          <w:szCs w:val="24"/>
          <w14:ligatures w14:val="none"/>
        </w:rPr>
        <w:t>saistošajiem noteikumiem par to izsniegšanas kārtību.</w:t>
      </w:r>
    </w:p>
    <w:p w14:paraId="0E22DB7C" w14:textId="3B8E43E3"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Lēmums tiek pieņemts normatīvos aktos noteiktā kārtībā un termiņos.</w:t>
      </w:r>
    </w:p>
    <w:p w14:paraId="6A4AD400" w14:textId="0F072759"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ir tiesīga uzaicināt uz sēdi paskaidrojumu sniegšanai personu, uz kuru tiek pieņemts lēmums.</w:t>
      </w:r>
    </w:p>
    <w:p w14:paraId="2AB244FB" w14:textId="77777777" w:rsidR="007F5F02"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 xml:space="preserve">Pirms lēmuma pieņemšanas komisija ir tiesīga pieprasīt ekspertu vai konkrētās jomas speciālistu viedokli. </w:t>
      </w:r>
    </w:p>
    <w:p w14:paraId="53B3E76E" w14:textId="58A591F0" w:rsidR="000966C6" w:rsidRPr="000966C6" w:rsidRDefault="007F5F02"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lēmumus pieņem ar vienkāršu balsu vairākumu. Ja balsu vairākuma nav, izšķirošā balss ir sēdes vadītājam. Komisija ir lemttiesīga, ja tajā piedalās ne mazāk kā puse no komisijas locekļiem. Komisija ir atbildīga par pieņemto lēmumu tiesiskumu</w:t>
      </w:r>
      <w:r>
        <w:rPr>
          <w:rFonts w:eastAsia="Times New Roman" w:cs="Times New Roman"/>
          <w:kern w:val="0"/>
          <w:szCs w:val="24"/>
          <w14:ligatures w14:val="none"/>
        </w:rPr>
        <w:t>.</w:t>
      </w:r>
    </w:p>
    <w:p w14:paraId="37C24239" w14:textId="29E74640"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ir tiesīga atteikt izsniegt atļauju (licenci), ja :</w:t>
      </w:r>
    </w:p>
    <w:p w14:paraId="327367B0" w14:textId="77777777" w:rsidR="000966C6" w:rsidRPr="000966C6" w:rsidRDefault="000966C6" w:rsidP="000966C6">
      <w:pPr>
        <w:pStyle w:val="Sarakstarindkopa"/>
        <w:spacing w:after="0" w:line="240" w:lineRule="auto"/>
        <w:ind w:left="426"/>
        <w:jc w:val="both"/>
        <w:rPr>
          <w:rFonts w:eastAsia="Times New Roman" w:cs="Times New Roman"/>
          <w:kern w:val="0"/>
          <w:szCs w:val="24"/>
          <w14:ligatures w14:val="none"/>
        </w:rPr>
      </w:pPr>
      <w:r w:rsidRPr="000966C6">
        <w:rPr>
          <w:rFonts w:eastAsia="Times New Roman" w:cs="Times New Roman"/>
          <w:kern w:val="0"/>
          <w:szCs w:val="24"/>
          <w14:ligatures w14:val="none"/>
        </w:rPr>
        <w:t>26.1.iesniegtajos dokumentos nav pietiekamu ziņu un jautājuma izlemšanai nepieciešami papildu materiāli;</w:t>
      </w:r>
    </w:p>
    <w:p w14:paraId="105DA2C2" w14:textId="77777777" w:rsidR="000966C6" w:rsidRPr="000966C6" w:rsidRDefault="000966C6" w:rsidP="000966C6">
      <w:pPr>
        <w:pStyle w:val="Sarakstarindkopa"/>
        <w:spacing w:after="0" w:line="240" w:lineRule="auto"/>
        <w:ind w:left="426"/>
        <w:jc w:val="both"/>
        <w:rPr>
          <w:rFonts w:eastAsia="Times New Roman" w:cs="Times New Roman"/>
          <w:kern w:val="0"/>
          <w:szCs w:val="24"/>
          <w14:ligatures w14:val="none"/>
        </w:rPr>
      </w:pPr>
      <w:r w:rsidRPr="000966C6">
        <w:rPr>
          <w:rFonts w:eastAsia="Times New Roman" w:cs="Times New Roman"/>
          <w:kern w:val="0"/>
          <w:szCs w:val="24"/>
          <w14:ligatures w14:val="none"/>
        </w:rPr>
        <w:t>26.2.nav nokārtotas saistības ar pašvaldību budžetu;</w:t>
      </w:r>
    </w:p>
    <w:p w14:paraId="73399B74" w14:textId="77777777" w:rsidR="000966C6" w:rsidRPr="000966C6" w:rsidRDefault="000966C6" w:rsidP="000966C6">
      <w:pPr>
        <w:pStyle w:val="Sarakstarindkopa"/>
        <w:spacing w:after="0" w:line="240" w:lineRule="auto"/>
        <w:ind w:left="426"/>
        <w:jc w:val="both"/>
        <w:rPr>
          <w:rFonts w:eastAsia="Times New Roman" w:cs="Times New Roman"/>
          <w:kern w:val="0"/>
          <w:szCs w:val="24"/>
          <w14:ligatures w14:val="none"/>
        </w:rPr>
      </w:pPr>
      <w:r w:rsidRPr="000966C6">
        <w:rPr>
          <w:rFonts w:eastAsia="Times New Roman" w:cs="Times New Roman"/>
          <w:kern w:val="0"/>
          <w:szCs w:val="24"/>
          <w14:ligatures w14:val="none"/>
        </w:rPr>
        <w:t>26.3.iesniegtie dokumenti neatbilst Latvijas Republikas normatīvo aktu prasībām;</w:t>
      </w:r>
    </w:p>
    <w:p w14:paraId="040DAD13" w14:textId="77777777" w:rsidR="000966C6" w:rsidRPr="000966C6" w:rsidRDefault="000966C6" w:rsidP="000966C6">
      <w:pPr>
        <w:pStyle w:val="Sarakstarindkopa"/>
        <w:spacing w:after="0" w:line="240" w:lineRule="auto"/>
        <w:ind w:left="426"/>
        <w:jc w:val="both"/>
        <w:rPr>
          <w:rFonts w:eastAsia="Times New Roman" w:cs="Times New Roman"/>
          <w:kern w:val="0"/>
          <w:szCs w:val="24"/>
          <w14:ligatures w14:val="none"/>
        </w:rPr>
      </w:pPr>
      <w:r w:rsidRPr="000966C6">
        <w:rPr>
          <w:rFonts w:eastAsia="Times New Roman" w:cs="Times New Roman"/>
          <w:kern w:val="0"/>
          <w:szCs w:val="24"/>
          <w14:ligatures w14:val="none"/>
        </w:rPr>
        <w:t>26.4.citos pašvaldības saistošajos noteikumos paredzētajos gadījumos.</w:t>
      </w:r>
    </w:p>
    <w:p w14:paraId="1BB5762A" w14:textId="59357097"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 xml:space="preserve">Licences, atļaujas vai izziņas izsniegšanas atteikums tiek </w:t>
      </w:r>
      <w:r w:rsidR="000C4FCF">
        <w:rPr>
          <w:rFonts w:eastAsia="Times New Roman" w:cs="Times New Roman"/>
          <w:kern w:val="0"/>
          <w:szCs w:val="24"/>
          <w14:ligatures w14:val="none"/>
        </w:rPr>
        <w:t>sniegts</w:t>
      </w:r>
      <w:r w:rsidR="000C4FCF" w:rsidRPr="000966C6">
        <w:rPr>
          <w:rFonts w:eastAsia="Times New Roman" w:cs="Times New Roman"/>
          <w:kern w:val="0"/>
          <w:szCs w:val="24"/>
          <w14:ligatures w14:val="none"/>
        </w:rPr>
        <w:t xml:space="preserve"> </w:t>
      </w:r>
      <w:r w:rsidRPr="000966C6">
        <w:rPr>
          <w:rFonts w:eastAsia="Times New Roman" w:cs="Times New Roman"/>
          <w:kern w:val="0"/>
          <w:szCs w:val="24"/>
          <w14:ligatures w14:val="none"/>
        </w:rPr>
        <w:t>rakstiski</w:t>
      </w:r>
      <w:r w:rsidR="00CA1AB3">
        <w:rPr>
          <w:rFonts w:eastAsia="Times New Roman" w:cs="Times New Roman"/>
          <w:kern w:val="0"/>
          <w:szCs w:val="24"/>
          <w14:ligatures w14:val="none"/>
        </w:rPr>
        <w:t xml:space="preserve">. </w:t>
      </w:r>
    </w:p>
    <w:p w14:paraId="1B82EEF2" w14:textId="24C4841E"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Komisijas lēmum</w:t>
      </w:r>
      <w:r w:rsidR="000C4FCF">
        <w:rPr>
          <w:rFonts w:eastAsia="Times New Roman" w:cs="Times New Roman"/>
          <w:kern w:val="0"/>
          <w:szCs w:val="24"/>
          <w14:ligatures w14:val="none"/>
        </w:rPr>
        <w:t>s</w:t>
      </w:r>
      <w:r w:rsidRPr="000966C6">
        <w:rPr>
          <w:rFonts w:eastAsia="Times New Roman" w:cs="Times New Roman"/>
          <w:kern w:val="0"/>
          <w:szCs w:val="24"/>
          <w14:ligatures w14:val="none"/>
        </w:rPr>
        <w:t xml:space="preserve"> </w:t>
      </w:r>
      <w:r w:rsidR="000C4FCF">
        <w:rPr>
          <w:rFonts w:eastAsia="Times New Roman" w:cs="Times New Roman"/>
          <w:kern w:val="0"/>
          <w:szCs w:val="24"/>
          <w14:ligatures w14:val="none"/>
        </w:rPr>
        <w:t xml:space="preserve"> ir </w:t>
      </w:r>
      <w:r w:rsidRPr="000966C6">
        <w:rPr>
          <w:rFonts w:eastAsia="Times New Roman" w:cs="Times New Roman"/>
          <w:kern w:val="0"/>
          <w:szCs w:val="24"/>
          <w14:ligatures w14:val="none"/>
        </w:rPr>
        <w:t>apstrīd</w:t>
      </w:r>
      <w:r w:rsidR="000C4FCF">
        <w:rPr>
          <w:rFonts w:eastAsia="Times New Roman" w:cs="Times New Roman"/>
          <w:kern w:val="0"/>
          <w:szCs w:val="24"/>
          <w14:ligatures w14:val="none"/>
        </w:rPr>
        <w:t>ams</w:t>
      </w:r>
      <w:r w:rsidRPr="000966C6">
        <w:rPr>
          <w:rFonts w:eastAsia="Times New Roman" w:cs="Times New Roman"/>
          <w:kern w:val="0"/>
          <w:szCs w:val="24"/>
          <w14:ligatures w14:val="none"/>
        </w:rPr>
        <w:t xml:space="preserve"> Alūksnes novada pašvaldības domē.</w:t>
      </w:r>
    </w:p>
    <w:p w14:paraId="09156A8C" w14:textId="77777777" w:rsidR="000966C6" w:rsidRPr="000966C6" w:rsidRDefault="000966C6" w:rsidP="000966C6">
      <w:pPr>
        <w:spacing w:after="0" w:line="240" w:lineRule="auto"/>
        <w:jc w:val="both"/>
        <w:rPr>
          <w:rFonts w:eastAsia="Times New Roman" w:cs="Times New Roman"/>
          <w:kern w:val="0"/>
          <w:szCs w:val="24"/>
          <w14:ligatures w14:val="none"/>
        </w:rPr>
      </w:pPr>
    </w:p>
    <w:p w14:paraId="15A52BEB" w14:textId="77777777" w:rsidR="000966C6" w:rsidRPr="000966C6" w:rsidRDefault="000966C6" w:rsidP="000966C6">
      <w:pPr>
        <w:numPr>
          <w:ilvl w:val="0"/>
          <w:numId w:val="3"/>
        </w:numPr>
        <w:spacing w:after="0" w:line="240" w:lineRule="auto"/>
        <w:jc w:val="center"/>
        <w:rPr>
          <w:rFonts w:eastAsia="Times New Roman" w:cs="Times New Roman"/>
          <w:b/>
          <w:kern w:val="0"/>
          <w:szCs w:val="24"/>
          <w14:ligatures w14:val="none"/>
        </w:rPr>
      </w:pPr>
      <w:r w:rsidRPr="000966C6">
        <w:rPr>
          <w:rFonts w:eastAsia="Times New Roman" w:cs="Times New Roman"/>
          <w:b/>
          <w:kern w:val="0"/>
          <w:szCs w:val="24"/>
          <w14:ligatures w14:val="none"/>
        </w:rPr>
        <w:t>Licences, atļaujas vai izziņas izsniegšana</w:t>
      </w:r>
    </w:p>
    <w:p w14:paraId="7C928C8A" w14:textId="77777777" w:rsidR="000966C6" w:rsidRPr="000966C6" w:rsidRDefault="000966C6" w:rsidP="000966C6">
      <w:pPr>
        <w:spacing w:after="0" w:line="240" w:lineRule="auto"/>
        <w:jc w:val="center"/>
        <w:rPr>
          <w:rFonts w:eastAsia="Times New Roman" w:cs="Times New Roman"/>
          <w:b/>
          <w:kern w:val="0"/>
          <w:szCs w:val="24"/>
          <w14:ligatures w14:val="none"/>
        </w:rPr>
      </w:pPr>
    </w:p>
    <w:p w14:paraId="1D2696DA" w14:textId="468E9BC5"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Licence, izziņa vai atļauja, pēc maksājuma dokumenta uzrādīšanas (ja maksājums piemērots ar normatīvu aktu), tiek izsniegta Alūksnes novada Valsts un pašvaldības vienotajā klientu apkalpošanas centrā.</w:t>
      </w:r>
    </w:p>
    <w:p w14:paraId="6C75E177" w14:textId="0D9EE878"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Licence, izziņa vai atļauja ir derīga, ja to ir parakstījis komisijas priekšsēdētājs (viņa prombūtnes laikā – vietnieks) un tā apstiprināta ar  komisijas zīmogu.</w:t>
      </w:r>
    </w:p>
    <w:p w14:paraId="01577BE2" w14:textId="55A3F3AB"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Komisija, pamatojoties uz valsts vai pašvaldības institūciju konstatētajiem pārkāpumiem uzņēmējdarbībā, ir tiesīga anulēt izsniegto licenci, izziņu par pašvaldības piekrišanu uzņēmējdarbības veikšanai. Šī jautājuma izskatīšanai komisija uz sēdi ir tiesīga uzaicināt uzņēmēju (komersantu).</w:t>
      </w:r>
    </w:p>
    <w:p w14:paraId="14384513" w14:textId="4278A023"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Licence, atļauja vai izziņa tiek anulēta, ja pieprasītājs 10 dienu laikā no lēmuma pieņemšanas nav apmaksājis un izņēmis piešķirto licenci, atļauju vai izziņu.</w:t>
      </w:r>
    </w:p>
    <w:p w14:paraId="4DBEB7AE" w14:textId="4F999910"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Licences, atļaujas vai izziņas anulēšanas gadījumā, to apmaksa netiek atmaksāta.</w:t>
      </w:r>
    </w:p>
    <w:p w14:paraId="28996205" w14:textId="083D2AF2" w:rsidR="000966C6" w:rsidRPr="000966C6" w:rsidRDefault="000966C6" w:rsidP="000966C6">
      <w:pPr>
        <w:pStyle w:val="Sarakstarindkopa"/>
        <w:numPr>
          <w:ilvl w:val="1"/>
          <w:numId w:val="2"/>
        </w:num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lastRenderedPageBreak/>
        <w:t>Licences, atļaujas vai izziņas nozaudēšanas gadījumā komisija ņemot vērā iesniedzēja motīvus, ir tiesīga izsniegt dublikātu.</w:t>
      </w:r>
    </w:p>
    <w:p w14:paraId="1F5226D8" w14:textId="77777777" w:rsidR="000966C6" w:rsidRPr="000966C6" w:rsidRDefault="000966C6" w:rsidP="000966C6">
      <w:pPr>
        <w:spacing w:after="0" w:line="240" w:lineRule="auto"/>
        <w:jc w:val="both"/>
        <w:rPr>
          <w:rFonts w:eastAsia="Times New Roman" w:cs="Times New Roman"/>
          <w:kern w:val="0"/>
          <w:szCs w:val="24"/>
          <w14:ligatures w14:val="none"/>
        </w:rPr>
      </w:pPr>
    </w:p>
    <w:p w14:paraId="2DA8FBD2" w14:textId="220D3536" w:rsidR="000966C6" w:rsidRPr="000966C6" w:rsidRDefault="000966C6" w:rsidP="000966C6">
      <w:pPr>
        <w:numPr>
          <w:ilvl w:val="0"/>
          <w:numId w:val="3"/>
        </w:numPr>
        <w:spacing w:after="0" w:line="240" w:lineRule="auto"/>
        <w:jc w:val="center"/>
        <w:rPr>
          <w:rFonts w:eastAsia="Times New Roman" w:cs="Times New Roman"/>
          <w:b/>
          <w:bCs/>
          <w:kern w:val="0"/>
          <w:szCs w:val="24"/>
          <w14:ligatures w14:val="none"/>
        </w:rPr>
      </w:pPr>
      <w:r w:rsidRPr="000966C6">
        <w:rPr>
          <w:rFonts w:eastAsia="Times New Roman" w:cs="Times New Roman"/>
          <w:b/>
          <w:bCs/>
          <w:kern w:val="0"/>
          <w:szCs w:val="24"/>
          <w14:ligatures w14:val="none"/>
        </w:rPr>
        <w:t>Noslēguma jautājum</w:t>
      </w:r>
      <w:r w:rsidR="0001015C">
        <w:rPr>
          <w:rFonts w:eastAsia="Times New Roman" w:cs="Times New Roman"/>
          <w:b/>
          <w:bCs/>
          <w:kern w:val="0"/>
          <w:szCs w:val="24"/>
          <w14:ligatures w14:val="none"/>
        </w:rPr>
        <w:t>s</w:t>
      </w:r>
    </w:p>
    <w:p w14:paraId="46D1687A" w14:textId="77777777" w:rsidR="000966C6" w:rsidRPr="000966C6" w:rsidRDefault="000966C6" w:rsidP="000966C6">
      <w:pPr>
        <w:spacing w:after="0" w:line="240" w:lineRule="auto"/>
        <w:jc w:val="both"/>
        <w:rPr>
          <w:rFonts w:eastAsia="Times New Roman" w:cs="Times New Roman"/>
          <w:kern w:val="0"/>
          <w:szCs w:val="24"/>
          <w14:ligatures w14:val="none"/>
        </w:rPr>
      </w:pPr>
    </w:p>
    <w:p w14:paraId="6AA1EB35" w14:textId="35C8336E" w:rsidR="000966C6" w:rsidRPr="000966C6" w:rsidRDefault="000966C6" w:rsidP="000966C6">
      <w:pPr>
        <w:spacing w:after="0" w:line="240" w:lineRule="auto"/>
        <w:ind w:firstLine="360"/>
        <w:jc w:val="both"/>
        <w:rPr>
          <w:rFonts w:eastAsia="Times New Roman" w:cs="Times New Roman"/>
          <w:kern w:val="0"/>
          <w:szCs w:val="24"/>
          <w14:ligatures w14:val="none"/>
        </w:rPr>
      </w:pPr>
      <w:r w:rsidRPr="000966C6">
        <w:rPr>
          <w:rFonts w:eastAsia="Times New Roman" w:cs="Times New Roman"/>
          <w:kern w:val="0"/>
          <w:szCs w:val="24"/>
          <w14:ligatures w14:val="none"/>
        </w:rPr>
        <w:t>Ar šī nolikuma spēka stāšanos netiek piemērots Alūksnes novada pašvaldības domes 2017.gada 28.jūnija nolikums Nr.5/2017 “Licencēšanas komisijas nolikums”, kas apstiprināts ar Alūksnes novada pašvaldības domes 2017.gada 28.jūnija lēmumu Nr.200 (protokols N</w:t>
      </w:r>
      <w:r>
        <w:rPr>
          <w:rFonts w:eastAsia="Times New Roman" w:cs="Times New Roman"/>
          <w:kern w:val="0"/>
          <w:szCs w:val="24"/>
          <w14:ligatures w14:val="none"/>
        </w:rPr>
        <w:t>r</w:t>
      </w:r>
      <w:r w:rsidRPr="000966C6">
        <w:rPr>
          <w:rFonts w:eastAsia="Times New Roman" w:cs="Times New Roman"/>
          <w:kern w:val="0"/>
          <w:szCs w:val="24"/>
          <w14:ligatures w14:val="none"/>
        </w:rPr>
        <w:t>.10,</w:t>
      </w:r>
      <w:r>
        <w:rPr>
          <w:rFonts w:eastAsia="Times New Roman" w:cs="Times New Roman"/>
          <w:kern w:val="0"/>
          <w:szCs w:val="24"/>
          <w14:ligatures w14:val="none"/>
        </w:rPr>
        <w:t xml:space="preserve"> </w:t>
      </w:r>
      <w:r w:rsidRPr="000966C6">
        <w:rPr>
          <w:rFonts w:eastAsia="Times New Roman" w:cs="Times New Roman"/>
          <w:kern w:val="0"/>
          <w:szCs w:val="24"/>
          <w14:ligatures w14:val="none"/>
        </w:rPr>
        <w:t>39.p.)</w:t>
      </w:r>
    </w:p>
    <w:p w14:paraId="60C936C1" w14:textId="77777777" w:rsidR="000966C6" w:rsidRPr="000966C6" w:rsidRDefault="000966C6" w:rsidP="000966C6">
      <w:pPr>
        <w:spacing w:after="0" w:line="240" w:lineRule="auto"/>
        <w:rPr>
          <w:rFonts w:eastAsia="Times New Roman" w:cs="Times New Roman"/>
          <w:kern w:val="0"/>
          <w:szCs w:val="24"/>
          <w14:ligatures w14:val="none"/>
        </w:rPr>
      </w:pPr>
    </w:p>
    <w:p w14:paraId="22467689" w14:textId="77777777" w:rsidR="000966C6" w:rsidRPr="000966C6" w:rsidRDefault="000966C6" w:rsidP="000966C6">
      <w:pPr>
        <w:spacing w:after="0" w:line="240" w:lineRule="auto"/>
        <w:jc w:val="both"/>
        <w:rPr>
          <w:rFonts w:eastAsia="Times New Roman" w:cs="Times New Roman"/>
          <w:kern w:val="0"/>
          <w:szCs w:val="24"/>
          <w14:ligatures w14:val="none"/>
        </w:rPr>
      </w:pPr>
      <w:r w:rsidRPr="000966C6">
        <w:rPr>
          <w:rFonts w:eastAsia="Times New Roman" w:cs="Times New Roman"/>
          <w:kern w:val="0"/>
          <w:szCs w:val="24"/>
          <w14:ligatures w14:val="none"/>
        </w:rPr>
        <w:t>Domes priekšsēdētājs</w:t>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proofErr w:type="spellStart"/>
      <w:r w:rsidRPr="000966C6">
        <w:rPr>
          <w:rFonts w:eastAsia="Times New Roman" w:cs="Times New Roman"/>
          <w:kern w:val="0"/>
          <w:szCs w:val="24"/>
          <w14:ligatures w14:val="none"/>
        </w:rPr>
        <w:t>Dz.ADLERS</w:t>
      </w:r>
      <w:proofErr w:type="spellEnd"/>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p>
    <w:p w14:paraId="043E393E" w14:textId="77777777" w:rsidR="000966C6" w:rsidRPr="000966C6" w:rsidRDefault="000966C6" w:rsidP="000966C6">
      <w:pPr>
        <w:spacing w:after="0" w:line="240" w:lineRule="auto"/>
        <w:jc w:val="both"/>
        <w:rPr>
          <w:rFonts w:eastAsia="Times New Roman" w:cs="Times New Roman"/>
          <w:kern w:val="0"/>
          <w:szCs w:val="24"/>
          <w14:ligatures w14:val="none"/>
        </w:rPr>
      </w:pPr>
      <w:r w:rsidRPr="000966C6">
        <w:rPr>
          <w:rFonts w:eastAsia="Times New Roman" w:cs="Times New Roman"/>
          <w:i/>
          <w:iCs/>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r w:rsidRPr="000966C6">
        <w:rPr>
          <w:rFonts w:eastAsia="Times New Roman" w:cs="Times New Roman"/>
          <w:kern w:val="0"/>
          <w:szCs w:val="24"/>
          <w14:ligatures w14:val="none"/>
        </w:rPr>
        <w:tab/>
      </w:r>
    </w:p>
    <w:p w14:paraId="76065E96"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26C23A32"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043F4DC2"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0B96CACB"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32EE93E1"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05ABF92E"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31831667"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0CFF4C35"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391B381D"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6444867A"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33E7DD46"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61208FEF" w14:textId="77777777" w:rsidR="000966C6" w:rsidRPr="000966C6" w:rsidRDefault="000966C6" w:rsidP="000966C6">
      <w:pPr>
        <w:spacing w:after="0" w:line="240" w:lineRule="auto"/>
        <w:jc w:val="right"/>
        <w:rPr>
          <w:rFonts w:eastAsia="Times New Roman" w:cs="Times New Roman"/>
          <w:b/>
          <w:kern w:val="0"/>
          <w:szCs w:val="24"/>
          <w14:ligatures w14:val="none"/>
        </w:rPr>
      </w:pPr>
    </w:p>
    <w:p w14:paraId="279A32D3" w14:textId="77777777" w:rsidR="000966C6" w:rsidRPr="00B9123C" w:rsidRDefault="000966C6" w:rsidP="000966C6">
      <w:pPr>
        <w:spacing w:after="0" w:line="240" w:lineRule="auto"/>
        <w:jc w:val="both"/>
      </w:pPr>
    </w:p>
    <w:sectPr w:rsidR="000966C6" w:rsidRPr="00B9123C" w:rsidSect="000966C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02D"/>
    <w:multiLevelType w:val="hybridMultilevel"/>
    <w:tmpl w:val="D6D2C3AA"/>
    <w:lvl w:ilvl="0" w:tplc="69F43E4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076C09"/>
    <w:multiLevelType w:val="multilevel"/>
    <w:tmpl w:val="6C2443D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C8D2BC5"/>
    <w:multiLevelType w:val="multilevel"/>
    <w:tmpl w:val="6C2443D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764229"/>
    <w:multiLevelType w:val="multilevel"/>
    <w:tmpl w:val="6C2443D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4DE7F53"/>
    <w:multiLevelType w:val="hybridMultilevel"/>
    <w:tmpl w:val="E4041C98"/>
    <w:lvl w:ilvl="0" w:tplc="923EFFB2">
      <w:start w:val="7"/>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5524CC2"/>
    <w:multiLevelType w:val="hybridMultilevel"/>
    <w:tmpl w:val="C1CAD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3212296">
    <w:abstractNumId w:val="4"/>
  </w:num>
  <w:num w:numId="2" w16cid:durableId="684133547">
    <w:abstractNumId w:val="1"/>
  </w:num>
  <w:num w:numId="3" w16cid:durableId="565455265">
    <w:abstractNumId w:val="0"/>
  </w:num>
  <w:num w:numId="4" w16cid:durableId="811292771">
    <w:abstractNumId w:val="5"/>
  </w:num>
  <w:num w:numId="5" w16cid:durableId="354969216">
    <w:abstractNumId w:val="3"/>
  </w:num>
  <w:num w:numId="6" w16cid:durableId="372928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59"/>
    <w:rsid w:val="0001015C"/>
    <w:rsid w:val="000966C6"/>
    <w:rsid w:val="000C23F9"/>
    <w:rsid w:val="000C4FCF"/>
    <w:rsid w:val="00374DCD"/>
    <w:rsid w:val="00573098"/>
    <w:rsid w:val="007F5F02"/>
    <w:rsid w:val="008E23D5"/>
    <w:rsid w:val="008E4090"/>
    <w:rsid w:val="00A87B7A"/>
    <w:rsid w:val="00A916C3"/>
    <w:rsid w:val="00B5351F"/>
    <w:rsid w:val="00B9123C"/>
    <w:rsid w:val="00C47F59"/>
    <w:rsid w:val="00C648B3"/>
    <w:rsid w:val="00C66BC8"/>
    <w:rsid w:val="00CA1AB3"/>
    <w:rsid w:val="00CF2326"/>
    <w:rsid w:val="00E637D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FEF5AD"/>
  <w15:chartTrackingRefBased/>
  <w15:docId w15:val="{523ABDD1-38BE-4180-995A-DEC57772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A916C3"/>
    <w:pPr>
      <w:spacing w:after="0" w:line="240" w:lineRule="auto"/>
    </w:pPr>
  </w:style>
  <w:style w:type="paragraph" w:customStyle="1" w:styleId="RakstzCharCharRakstzCharCharRakstzCharCharRakstz">
    <w:name w:val="Rakstz. Char Char Rakstz. Char Char Rakstz. Char Char Rakstz."/>
    <w:basedOn w:val="Parasts"/>
    <w:rsid w:val="000966C6"/>
    <w:pPr>
      <w:spacing w:line="240" w:lineRule="exact"/>
    </w:pPr>
    <w:rPr>
      <w:rFonts w:ascii="Tahoma" w:eastAsia="Times New Roman" w:hAnsi="Tahoma" w:cs="Times New Roman"/>
      <w:kern w:val="0"/>
      <w:sz w:val="20"/>
      <w:szCs w:val="20"/>
      <w:lang w:val="en-US"/>
      <w14:ligatures w14:val="none"/>
    </w:rPr>
  </w:style>
  <w:style w:type="paragraph" w:styleId="Sarakstarindkopa">
    <w:name w:val="List Paragraph"/>
    <w:basedOn w:val="Parasts"/>
    <w:uiPriority w:val="34"/>
    <w:qFormat/>
    <w:rsid w:val="000966C6"/>
    <w:pPr>
      <w:ind w:left="720"/>
      <w:contextualSpacing/>
    </w:pPr>
  </w:style>
  <w:style w:type="character" w:styleId="Komentraatsauce">
    <w:name w:val="annotation reference"/>
    <w:basedOn w:val="Noklusjumarindkopasfonts"/>
    <w:uiPriority w:val="99"/>
    <w:semiHidden/>
    <w:unhideWhenUsed/>
    <w:rsid w:val="00A87B7A"/>
    <w:rPr>
      <w:sz w:val="16"/>
      <w:szCs w:val="16"/>
    </w:rPr>
  </w:style>
  <w:style w:type="paragraph" w:styleId="Komentrateksts">
    <w:name w:val="annotation text"/>
    <w:basedOn w:val="Parasts"/>
    <w:link w:val="KomentratekstsRakstz"/>
    <w:uiPriority w:val="99"/>
    <w:semiHidden/>
    <w:unhideWhenUsed/>
    <w:rsid w:val="00A87B7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7B7A"/>
    <w:rPr>
      <w:sz w:val="20"/>
      <w:szCs w:val="20"/>
    </w:rPr>
  </w:style>
  <w:style w:type="paragraph" w:styleId="Komentratma">
    <w:name w:val="annotation subject"/>
    <w:basedOn w:val="Komentrateksts"/>
    <w:next w:val="Komentrateksts"/>
    <w:link w:val="KomentratmaRakstz"/>
    <w:uiPriority w:val="99"/>
    <w:semiHidden/>
    <w:unhideWhenUsed/>
    <w:rsid w:val="00A87B7A"/>
    <w:rPr>
      <w:b/>
      <w:bCs/>
    </w:rPr>
  </w:style>
  <w:style w:type="character" w:customStyle="1" w:styleId="KomentratmaRakstz">
    <w:name w:val="Komentāra tēma Rakstz."/>
    <w:basedOn w:val="KomentratekstsRakstz"/>
    <w:link w:val="Komentratma"/>
    <w:uiPriority w:val="99"/>
    <w:semiHidden/>
    <w:rsid w:val="00A87B7A"/>
    <w:rPr>
      <w:b/>
      <w:bCs/>
      <w:sz w:val="20"/>
      <w:szCs w:val="20"/>
    </w:rPr>
  </w:style>
  <w:style w:type="paragraph" w:styleId="Balonteksts">
    <w:name w:val="Balloon Text"/>
    <w:basedOn w:val="Parasts"/>
    <w:link w:val="BalontekstsRakstz"/>
    <w:uiPriority w:val="99"/>
    <w:semiHidden/>
    <w:unhideWhenUsed/>
    <w:rsid w:val="005730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3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4314</Words>
  <Characters>2460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KOVAĻENKO</dc:creator>
  <cp:keywords/>
  <dc:description/>
  <cp:lastModifiedBy>Evita APLOKA</cp:lastModifiedBy>
  <cp:revision>4</cp:revision>
  <dcterms:created xsi:type="dcterms:W3CDTF">2023-05-31T12:51:00Z</dcterms:created>
  <dcterms:modified xsi:type="dcterms:W3CDTF">2023-06-26T10:33:00Z</dcterms:modified>
</cp:coreProperties>
</file>