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D9EB" w14:textId="0992677E" w:rsidR="0050027B" w:rsidRPr="0050027B" w:rsidRDefault="0050027B" w:rsidP="0050027B">
      <w:pPr>
        <w:suppressAutoHyphens w:val="0"/>
        <w:autoSpaceDN/>
        <w:spacing w:after="120" w:line="240" w:lineRule="auto"/>
        <w:jc w:val="right"/>
        <w:textAlignment w:val="auto"/>
        <w:rPr>
          <w:rFonts w:eastAsia="Times New Roman"/>
          <w:bCs/>
          <w:i/>
          <w:iCs/>
          <w:szCs w:val="24"/>
          <w:lang w:eastAsia="lv-LV"/>
        </w:rPr>
      </w:pPr>
      <w:r w:rsidRPr="0050027B">
        <w:rPr>
          <w:rFonts w:eastAsia="Times New Roman"/>
          <w:bCs/>
          <w:i/>
          <w:iCs/>
          <w:szCs w:val="24"/>
          <w:lang w:eastAsia="lv-LV"/>
        </w:rPr>
        <w:t>Lēmuma projekts</w:t>
      </w:r>
    </w:p>
    <w:p w14:paraId="6846213F" w14:textId="464907C5" w:rsidR="0050027B" w:rsidRDefault="0050027B" w:rsidP="0050027B">
      <w:pPr>
        <w:suppressAutoHyphens w:val="0"/>
        <w:autoSpaceDN/>
        <w:spacing w:after="120" w:line="240" w:lineRule="auto"/>
        <w:jc w:val="center"/>
        <w:textAlignment w:val="auto"/>
        <w:rPr>
          <w:rFonts w:eastAsia="Times New Roman"/>
          <w:b/>
          <w:szCs w:val="24"/>
          <w:lang w:eastAsia="lv-LV"/>
        </w:rPr>
      </w:pPr>
      <w:r w:rsidRPr="001C3E37">
        <w:rPr>
          <w:rFonts w:eastAsia="Times New Roman"/>
          <w:b/>
          <w:szCs w:val="24"/>
          <w:lang w:eastAsia="lv-LV"/>
        </w:rPr>
        <w:t>Par līdzmaksājumu dalībai Alūksnes Sporta skolas profesionālās ievirzes un interešu izglītības programmās</w:t>
      </w:r>
    </w:p>
    <w:p w14:paraId="65766146" w14:textId="77777777" w:rsidR="0050027B" w:rsidRPr="00DB5A28" w:rsidRDefault="0050027B" w:rsidP="0050027B">
      <w:pPr>
        <w:suppressAutoHyphens w:val="0"/>
        <w:autoSpaceDN/>
        <w:spacing w:after="0" w:line="240" w:lineRule="auto"/>
        <w:jc w:val="center"/>
        <w:textAlignment w:val="auto"/>
        <w:rPr>
          <w:rFonts w:eastAsia="Times New Roman"/>
          <w:b/>
          <w:szCs w:val="24"/>
          <w:lang w:eastAsia="lv-LV"/>
        </w:rPr>
      </w:pPr>
    </w:p>
    <w:p w14:paraId="097EB025" w14:textId="77777777" w:rsidR="0050027B" w:rsidRPr="001C3E37" w:rsidRDefault="0050027B" w:rsidP="0050027B">
      <w:pPr>
        <w:suppressAutoHyphens w:val="0"/>
        <w:autoSpaceDN/>
        <w:spacing w:after="0" w:line="240" w:lineRule="auto"/>
        <w:ind w:firstLine="720"/>
        <w:jc w:val="both"/>
        <w:textAlignment w:val="auto"/>
        <w:rPr>
          <w:rFonts w:eastAsia="Times New Roman"/>
          <w:iCs/>
          <w:szCs w:val="24"/>
        </w:rPr>
      </w:pPr>
      <w:r w:rsidRPr="001C3E37">
        <w:rPr>
          <w:rFonts w:eastAsia="Times New Roman"/>
          <w:szCs w:val="24"/>
        </w:rPr>
        <w:t xml:space="preserve">Pamatojoties uz Pašvaldību likuma 10. panta pirmās daļas ievaddaļu, Pievienotās vērtības nodokļa likuma 52. panta pirmās daļas 12. punktu, Ministru kabineta 2013. gada 3. janvāra noteikumu Nr.17 “Pievienotās vērtības nodokļa likuma normu piemērošanas kārtība un atsevišķas prasības pievienotās vērtības nodokļa maksāšanai un administrēšanai” 29.1. punktu, Alūksnes novada pašvaldības domes 2024. gada 28. marta saistošo noteikumu Nr. 11/2024 “Par interešu izglītības programmu īstenošanu Alūksnes novadā” 21. punktu un 2024. gada 28. marta saistošo noteikumu Nr. 12/2024 “Par līdzfinansējuma maksas kārtību Alūksnes novada pašvaldības profesionālās ievirzes izglītības iestādēs” 3. punktu, 2024. gada 31. maija Alūksnes novada pašvaldības izpilddirektora rīkojumu Nr. ANP/1-6/24/148 “Maksas pakalpojumu izcenojumu noteikšanas metodika un izcenojumu apstiprināšanas kārtība”, </w:t>
      </w:r>
    </w:p>
    <w:p w14:paraId="5C383CA1" w14:textId="77777777" w:rsidR="0050027B" w:rsidRPr="001C3E37" w:rsidRDefault="0050027B" w:rsidP="0050027B">
      <w:pPr>
        <w:suppressAutoHyphens w:val="0"/>
        <w:autoSpaceDN/>
        <w:spacing w:after="0" w:line="240" w:lineRule="auto"/>
        <w:jc w:val="both"/>
        <w:textAlignment w:val="auto"/>
        <w:rPr>
          <w:rFonts w:eastAsia="Times New Roman"/>
          <w:szCs w:val="24"/>
        </w:rPr>
      </w:pPr>
    </w:p>
    <w:p w14:paraId="747AC760" w14:textId="77777777" w:rsidR="0050027B" w:rsidRPr="001C3E37" w:rsidRDefault="0050027B" w:rsidP="0050027B">
      <w:pPr>
        <w:numPr>
          <w:ilvl w:val="0"/>
          <w:numId w:val="1"/>
        </w:numPr>
        <w:tabs>
          <w:tab w:val="left" w:pos="567"/>
        </w:tabs>
        <w:suppressAutoHyphens w:val="0"/>
        <w:autoSpaceDN/>
        <w:spacing w:after="0" w:line="240" w:lineRule="auto"/>
        <w:jc w:val="both"/>
        <w:textAlignment w:val="auto"/>
        <w:rPr>
          <w:rFonts w:eastAsia="Times New Roman"/>
          <w:color w:val="000000"/>
          <w:szCs w:val="24"/>
        </w:rPr>
      </w:pPr>
      <w:r w:rsidRPr="001C3E37">
        <w:rPr>
          <w:rFonts w:eastAsia="Times New Roman"/>
          <w:color w:val="000000"/>
          <w:szCs w:val="24"/>
        </w:rPr>
        <w:t xml:space="preserve"> Noteikt līdzmaksājumu dalībai Alūksnes Sporta skolas profesionālās ievirzes un interešu izglītības programmās saskaņā ar cenrādi (pielikumā).</w:t>
      </w:r>
    </w:p>
    <w:p w14:paraId="253F9461" w14:textId="77777777" w:rsidR="0050027B" w:rsidRPr="001C3E37" w:rsidRDefault="0050027B" w:rsidP="0050027B">
      <w:pPr>
        <w:numPr>
          <w:ilvl w:val="0"/>
          <w:numId w:val="1"/>
        </w:numPr>
        <w:tabs>
          <w:tab w:val="left" w:pos="567"/>
        </w:tabs>
        <w:suppressAutoHyphens w:val="0"/>
        <w:autoSpaceDN/>
        <w:spacing w:after="0" w:line="240" w:lineRule="auto"/>
        <w:jc w:val="both"/>
        <w:textAlignment w:val="auto"/>
        <w:rPr>
          <w:rFonts w:eastAsia="Times New Roman"/>
          <w:color w:val="000000"/>
          <w:szCs w:val="24"/>
        </w:rPr>
      </w:pPr>
      <w:r w:rsidRPr="001C3E37">
        <w:rPr>
          <w:rFonts w:eastAsia="Times New Roman"/>
          <w:color w:val="000000"/>
          <w:szCs w:val="24"/>
        </w:rPr>
        <w:t>Atzīt par spēku zaudējušu Alūksnes novada pašvaldības domes 2014. gada 25. septembra lēmumu Nr. 365 “Par Alūksnes Sporta skolas sniegtajiem maksas pakalpojumiem”.</w:t>
      </w:r>
    </w:p>
    <w:p w14:paraId="132C134D" w14:textId="77777777" w:rsidR="0050027B" w:rsidRPr="001C3E37" w:rsidRDefault="0050027B" w:rsidP="0050027B">
      <w:pPr>
        <w:numPr>
          <w:ilvl w:val="0"/>
          <w:numId w:val="1"/>
        </w:numPr>
        <w:tabs>
          <w:tab w:val="left" w:pos="567"/>
        </w:tabs>
        <w:suppressAutoHyphens w:val="0"/>
        <w:autoSpaceDN/>
        <w:spacing w:after="0" w:line="240" w:lineRule="auto"/>
        <w:jc w:val="both"/>
        <w:textAlignment w:val="auto"/>
        <w:rPr>
          <w:rFonts w:eastAsia="Times New Roman"/>
          <w:color w:val="000000"/>
          <w:szCs w:val="24"/>
        </w:rPr>
      </w:pPr>
      <w:r w:rsidRPr="001C3E37">
        <w:rPr>
          <w:rFonts w:eastAsia="Times New Roman"/>
          <w:color w:val="000000"/>
          <w:szCs w:val="24"/>
        </w:rPr>
        <w:t>Lēmums stājas spēkā 01.09.2024.</w:t>
      </w:r>
    </w:p>
    <w:p w14:paraId="1CED1E15" w14:textId="77777777" w:rsidR="0050027B" w:rsidRPr="00DB5A28" w:rsidRDefault="0050027B" w:rsidP="0050027B">
      <w:pPr>
        <w:suppressAutoHyphens w:val="0"/>
        <w:autoSpaceDN/>
        <w:spacing w:after="0" w:line="240" w:lineRule="auto"/>
        <w:textAlignment w:val="auto"/>
        <w:rPr>
          <w:rFonts w:eastAsia="Times New Roman"/>
          <w:szCs w:val="24"/>
          <w:lang w:eastAsia="lv-LV"/>
        </w:rPr>
      </w:pPr>
    </w:p>
    <w:p w14:paraId="6487CCA7" w14:textId="0DD48696" w:rsidR="0050027B" w:rsidRPr="0050027B" w:rsidRDefault="0050027B" w:rsidP="0050027B">
      <w:pPr>
        <w:suppressAutoHyphens w:val="0"/>
        <w:autoSpaceDN/>
        <w:spacing w:after="0" w:line="240" w:lineRule="auto"/>
        <w:jc w:val="right"/>
        <w:textAlignment w:val="auto"/>
        <w:rPr>
          <w:rFonts w:eastAsia="Times New Roman"/>
          <w:bCs/>
          <w:i/>
          <w:iCs/>
          <w:szCs w:val="24"/>
        </w:rPr>
      </w:pPr>
      <w:r w:rsidRPr="0050027B">
        <w:rPr>
          <w:rFonts w:eastAsia="Times New Roman"/>
          <w:bCs/>
          <w:i/>
          <w:iCs/>
          <w:szCs w:val="24"/>
        </w:rPr>
        <w:t>Pielikums</w:t>
      </w:r>
    </w:p>
    <w:p w14:paraId="0EC649A4" w14:textId="136D55F8" w:rsidR="0050027B" w:rsidRPr="0050027B" w:rsidRDefault="0050027B" w:rsidP="0050027B">
      <w:pPr>
        <w:suppressAutoHyphens w:val="0"/>
        <w:autoSpaceDN/>
        <w:spacing w:after="0" w:line="240" w:lineRule="auto"/>
        <w:jc w:val="center"/>
        <w:textAlignment w:val="auto"/>
        <w:rPr>
          <w:rFonts w:eastAsia="Times New Roman"/>
          <w:b/>
          <w:szCs w:val="24"/>
        </w:rPr>
      </w:pPr>
      <w:r w:rsidRPr="0050027B">
        <w:rPr>
          <w:rFonts w:eastAsia="Times New Roman"/>
          <w:b/>
          <w:szCs w:val="24"/>
        </w:rPr>
        <w:t xml:space="preserve">Līdzmaksājuma dalībai Alūksnes Sporta skolas </w:t>
      </w:r>
    </w:p>
    <w:p w14:paraId="6803E0C5" w14:textId="77777777" w:rsidR="0050027B" w:rsidRPr="0050027B" w:rsidRDefault="0050027B" w:rsidP="0050027B">
      <w:pPr>
        <w:suppressAutoHyphens w:val="0"/>
        <w:autoSpaceDN/>
        <w:spacing w:after="0" w:line="240" w:lineRule="auto"/>
        <w:jc w:val="center"/>
        <w:textAlignment w:val="auto"/>
        <w:rPr>
          <w:rFonts w:eastAsia="Times New Roman"/>
          <w:b/>
          <w:szCs w:val="24"/>
        </w:rPr>
      </w:pPr>
      <w:r w:rsidRPr="0050027B">
        <w:rPr>
          <w:rFonts w:eastAsia="Times New Roman"/>
          <w:color w:val="000000"/>
          <w:szCs w:val="24"/>
        </w:rPr>
        <w:t xml:space="preserve"> </w:t>
      </w:r>
      <w:r w:rsidRPr="0050027B">
        <w:rPr>
          <w:rFonts w:eastAsia="Times New Roman"/>
          <w:b/>
          <w:bCs/>
          <w:color w:val="000000"/>
          <w:szCs w:val="24"/>
        </w:rPr>
        <w:t>profesionālās ievirzes un interešu izglītības programmās</w:t>
      </w:r>
      <w:r w:rsidRPr="0050027B">
        <w:rPr>
          <w:rFonts w:eastAsia="Times New Roman"/>
          <w:color w:val="000000"/>
          <w:szCs w:val="24"/>
        </w:rPr>
        <w:t xml:space="preserve"> </w:t>
      </w:r>
      <w:r w:rsidRPr="0050027B">
        <w:rPr>
          <w:rFonts w:eastAsia="Times New Roman"/>
          <w:b/>
          <w:szCs w:val="24"/>
        </w:rPr>
        <w:t>cenrādis</w:t>
      </w:r>
    </w:p>
    <w:p w14:paraId="77D2D2FF" w14:textId="77777777" w:rsidR="0050027B" w:rsidRPr="0050027B" w:rsidRDefault="0050027B" w:rsidP="0050027B">
      <w:pPr>
        <w:suppressAutoHyphens w:val="0"/>
        <w:autoSpaceDN/>
        <w:spacing w:after="0" w:line="240" w:lineRule="auto"/>
        <w:jc w:val="center"/>
        <w:textAlignment w:val="auto"/>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00"/>
        <w:gridCol w:w="1063"/>
        <w:gridCol w:w="1803"/>
        <w:gridCol w:w="1805"/>
      </w:tblGrid>
      <w:tr w:rsidR="0050027B" w:rsidRPr="0050027B" w14:paraId="4F4C8A4E" w14:textId="77777777" w:rsidTr="00B1455D">
        <w:trPr>
          <w:trHeight w:val="558"/>
        </w:trPr>
        <w:tc>
          <w:tcPr>
            <w:tcW w:w="890" w:type="dxa"/>
            <w:shd w:val="clear" w:color="auto" w:fill="auto"/>
          </w:tcPr>
          <w:p w14:paraId="6DF578AB"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proofErr w:type="spellStart"/>
            <w:r w:rsidRPr="0050027B">
              <w:rPr>
                <w:rFonts w:eastAsia="Times New Roman"/>
                <w:szCs w:val="24"/>
                <w:lang w:eastAsia="lv-LV"/>
              </w:rPr>
              <w:t>Nr.p.k</w:t>
            </w:r>
            <w:proofErr w:type="spellEnd"/>
            <w:r w:rsidRPr="0050027B">
              <w:rPr>
                <w:rFonts w:eastAsia="Times New Roman"/>
                <w:szCs w:val="24"/>
                <w:lang w:eastAsia="lv-LV"/>
              </w:rPr>
              <w:t>.</w:t>
            </w:r>
          </w:p>
        </w:tc>
        <w:tc>
          <w:tcPr>
            <w:tcW w:w="3500" w:type="dxa"/>
            <w:shd w:val="clear" w:color="auto" w:fill="auto"/>
          </w:tcPr>
          <w:p w14:paraId="7D233805"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Pakalpojums</w:t>
            </w:r>
          </w:p>
        </w:tc>
        <w:tc>
          <w:tcPr>
            <w:tcW w:w="1063" w:type="dxa"/>
            <w:shd w:val="clear" w:color="auto" w:fill="auto"/>
          </w:tcPr>
          <w:p w14:paraId="4B291A6B"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Vienība</w:t>
            </w:r>
          </w:p>
        </w:tc>
        <w:tc>
          <w:tcPr>
            <w:tcW w:w="1803" w:type="dxa"/>
            <w:shd w:val="clear" w:color="auto" w:fill="auto"/>
          </w:tcPr>
          <w:p w14:paraId="02E7456E"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Cena bez PVN</w:t>
            </w:r>
          </w:p>
          <w:p w14:paraId="7D5F362B"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(EUR)</w:t>
            </w:r>
          </w:p>
        </w:tc>
        <w:tc>
          <w:tcPr>
            <w:tcW w:w="1805" w:type="dxa"/>
            <w:shd w:val="clear" w:color="auto" w:fill="auto"/>
          </w:tcPr>
          <w:p w14:paraId="48AE0C14"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PVN likme</w:t>
            </w:r>
          </w:p>
          <w:p w14:paraId="581240CB"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21%</w:t>
            </w:r>
          </w:p>
        </w:tc>
      </w:tr>
      <w:tr w:rsidR="0050027B" w:rsidRPr="0050027B" w14:paraId="4FDF3DA0" w14:textId="77777777" w:rsidTr="00B1455D">
        <w:trPr>
          <w:trHeight w:val="1104"/>
        </w:trPr>
        <w:tc>
          <w:tcPr>
            <w:tcW w:w="890" w:type="dxa"/>
            <w:shd w:val="clear" w:color="auto" w:fill="auto"/>
          </w:tcPr>
          <w:p w14:paraId="4662B504"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1.</w:t>
            </w:r>
          </w:p>
        </w:tc>
        <w:tc>
          <w:tcPr>
            <w:tcW w:w="3500" w:type="dxa"/>
            <w:shd w:val="clear" w:color="auto" w:fill="auto"/>
          </w:tcPr>
          <w:p w14:paraId="53C73CC2"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Profesionālās ievirzes izglītības programma</w:t>
            </w:r>
          </w:p>
        </w:tc>
        <w:tc>
          <w:tcPr>
            <w:tcW w:w="1063" w:type="dxa"/>
            <w:shd w:val="clear" w:color="auto" w:fill="auto"/>
          </w:tcPr>
          <w:p w14:paraId="1D72C44E"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mēnesī</w:t>
            </w:r>
          </w:p>
        </w:tc>
        <w:tc>
          <w:tcPr>
            <w:tcW w:w="1803" w:type="dxa"/>
            <w:shd w:val="clear" w:color="auto" w:fill="auto"/>
          </w:tcPr>
          <w:p w14:paraId="56E1B868"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7,00</w:t>
            </w:r>
          </w:p>
        </w:tc>
        <w:tc>
          <w:tcPr>
            <w:tcW w:w="1805" w:type="dxa"/>
            <w:shd w:val="clear" w:color="auto" w:fill="auto"/>
          </w:tcPr>
          <w:p w14:paraId="2C6C3FFB"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nepiemēro</w:t>
            </w:r>
          </w:p>
        </w:tc>
      </w:tr>
      <w:tr w:rsidR="0050027B" w:rsidRPr="0050027B" w14:paraId="3576820E" w14:textId="77777777" w:rsidTr="00B1455D">
        <w:trPr>
          <w:trHeight w:val="836"/>
        </w:trPr>
        <w:tc>
          <w:tcPr>
            <w:tcW w:w="890" w:type="dxa"/>
            <w:shd w:val="clear" w:color="auto" w:fill="auto"/>
          </w:tcPr>
          <w:p w14:paraId="424BFADE"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2.</w:t>
            </w:r>
          </w:p>
        </w:tc>
        <w:tc>
          <w:tcPr>
            <w:tcW w:w="3500" w:type="dxa"/>
            <w:shd w:val="clear" w:color="auto" w:fill="auto"/>
          </w:tcPr>
          <w:p w14:paraId="77E3E505"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Interešu izglītības programma</w:t>
            </w:r>
          </w:p>
        </w:tc>
        <w:tc>
          <w:tcPr>
            <w:tcW w:w="1063" w:type="dxa"/>
            <w:shd w:val="clear" w:color="auto" w:fill="auto"/>
          </w:tcPr>
          <w:p w14:paraId="7CD5F0DE"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mēnesī</w:t>
            </w:r>
          </w:p>
        </w:tc>
        <w:tc>
          <w:tcPr>
            <w:tcW w:w="1803" w:type="dxa"/>
            <w:shd w:val="clear" w:color="auto" w:fill="auto"/>
          </w:tcPr>
          <w:p w14:paraId="36865ED3"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3,00</w:t>
            </w:r>
          </w:p>
        </w:tc>
        <w:tc>
          <w:tcPr>
            <w:tcW w:w="1805" w:type="dxa"/>
            <w:shd w:val="clear" w:color="auto" w:fill="auto"/>
          </w:tcPr>
          <w:p w14:paraId="5BF086F6" w14:textId="77777777" w:rsidR="0050027B" w:rsidRPr="0050027B" w:rsidRDefault="0050027B" w:rsidP="0050027B">
            <w:pPr>
              <w:suppressAutoHyphens w:val="0"/>
              <w:autoSpaceDN/>
              <w:spacing w:after="0" w:line="240" w:lineRule="auto"/>
              <w:jc w:val="both"/>
              <w:textAlignment w:val="auto"/>
              <w:rPr>
                <w:rFonts w:eastAsia="Times New Roman"/>
                <w:szCs w:val="24"/>
                <w:lang w:eastAsia="lv-LV"/>
              </w:rPr>
            </w:pPr>
            <w:r w:rsidRPr="0050027B">
              <w:rPr>
                <w:rFonts w:eastAsia="Times New Roman"/>
                <w:szCs w:val="24"/>
                <w:lang w:eastAsia="lv-LV"/>
              </w:rPr>
              <w:t>nepiemēro</w:t>
            </w:r>
          </w:p>
        </w:tc>
      </w:tr>
    </w:tbl>
    <w:p w14:paraId="4E12A6CE" w14:textId="77777777" w:rsidR="00A745E1" w:rsidRDefault="00A745E1"/>
    <w:sectPr w:rsidR="00A745E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80CFD"/>
    <w:multiLevelType w:val="multilevel"/>
    <w:tmpl w:val="E466DCCA"/>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33637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7B"/>
    <w:rsid w:val="004F7DD7"/>
    <w:rsid w:val="0050027B"/>
    <w:rsid w:val="00A74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2CF6"/>
  <w15:chartTrackingRefBased/>
  <w15:docId w15:val="{299F152E-C609-4B4B-88C2-575499E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027B"/>
    <w:pPr>
      <w:suppressAutoHyphens/>
      <w:autoSpaceDN w:val="0"/>
      <w:spacing w:line="251" w:lineRule="auto"/>
      <w:textAlignment w:val="baseline"/>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1052</Words>
  <Characters>600</Characters>
  <Application>Microsoft Office Word</Application>
  <DocSecurity>0</DocSecurity>
  <Lines>5</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2024-07-22T06:07:00Z</dcterms:created>
  <dcterms:modified xsi:type="dcterms:W3CDTF">2024-07-22T06:10:00Z</dcterms:modified>
</cp:coreProperties>
</file>