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2B0F" w14:textId="77777777" w:rsidR="00B168F2" w:rsidRPr="000C4504" w:rsidRDefault="00B168F2" w:rsidP="00B168F2">
      <w:pPr>
        <w:spacing w:after="0" w:line="240" w:lineRule="auto"/>
        <w:jc w:val="right"/>
        <w:rPr>
          <w:rFonts w:ascii="Times New Roman" w:eastAsia="Times New Roman" w:hAnsi="Times New Roman"/>
          <w:i/>
          <w:iCs/>
          <w:sz w:val="24"/>
          <w:szCs w:val="24"/>
          <w:lang w:eastAsia="lv-LV"/>
        </w:rPr>
      </w:pPr>
      <w:r w:rsidRPr="000C4504">
        <w:rPr>
          <w:rFonts w:ascii="Times New Roman" w:eastAsia="Times New Roman" w:hAnsi="Times New Roman"/>
          <w:i/>
          <w:iCs/>
          <w:sz w:val="24"/>
          <w:szCs w:val="24"/>
          <w:lang w:eastAsia="lv-LV"/>
        </w:rPr>
        <w:t>Lēmuma projekts</w:t>
      </w:r>
    </w:p>
    <w:p w14:paraId="7B799871" w14:textId="77777777" w:rsidR="00B168F2" w:rsidRPr="000C4504" w:rsidRDefault="00B168F2" w:rsidP="00B168F2">
      <w:pPr>
        <w:spacing w:after="0" w:line="240" w:lineRule="auto"/>
        <w:jc w:val="right"/>
        <w:rPr>
          <w:rFonts w:ascii="Times New Roman" w:eastAsia="Times New Roman" w:hAnsi="Times New Roman"/>
          <w:b/>
          <w:sz w:val="24"/>
          <w:szCs w:val="24"/>
          <w:u w:val="single"/>
          <w:lang w:eastAsia="lv-LV"/>
        </w:rPr>
      </w:pPr>
    </w:p>
    <w:p w14:paraId="02DA1786" w14:textId="77777777" w:rsidR="00B168F2" w:rsidRPr="000C4504" w:rsidRDefault="00B168F2" w:rsidP="00B168F2">
      <w:pPr>
        <w:spacing w:after="0" w:line="240" w:lineRule="auto"/>
        <w:jc w:val="center"/>
        <w:rPr>
          <w:rFonts w:ascii="Times New Roman" w:eastAsia="Times New Roman" w:hAnsi="Times New Roman"/>
          <w:b/>
          <w:bCs/>
          <w:sz w:val="24"/>
          <w:szCs w:val="24"/>
          <w:lang w:eastAsia="lv-LV"/>
        </w:rPr>
      </w:pPr>
      <w:bookmarkStart w:id="0" w:name="_Hlk169085929"/>
      <w:r w:rsidRPr="000C4504">
        <w:rPr>
          <w:rFonts w:ascii="Times New Roman" w:eastAsia="Times New Roman" w:hAnsi="Times New Roman"/>
          <w:b/>
          <w:bCs/>
          <w:sz w:val="24"/>
          <w:szCs w:val="24"/>
          <w:lang w:eastAsia="lv-LV"/>
        </w:rPr>
        <w:t xml:space="preserve">Par </w:t>
      </w:r>
      <w:r>
        <w:rPr>
          <w:rFonts w:ascii="Times New Roman" w:eastAsia="Times New Roman" w:hAnsi="Times New Roman"/>
          <w:b/>
          <w:bCs/>
          <w:sz w:val="24"/>
          <w:szCs w:val="24"/>
          <w:lang w:eastAsia="lv-LV"/>
        </w:rPr>
        <w:t xml:space="preserve">Alūksnes novada pašvaldības domes 2024. gada 30. maija </w:t>
      </w:r>
      <w:r w:rsidRPr="000C4504">
        <w:rPr>
          <w:rFonts w:ascii="Times New Roman" w:eastAsia="Times New Roman" w:hAnsi="Times New Roman"/>
          <w:b/>
          <w:bCs/>
          <w:sz w:val="24"/>
          <w:szCs w:val="24"/>
          <w:lang w:eastAsia="lv-LV"/>
        </w:rPr>
        <w:t>saistošo noteikumu Nr.</w:t>
      </w:r>
      <w:r>
        <w:rPr>
          <w:rFonts w:ascii="Times New Roman" w:eastAsia="Times New Roman" w:hAnsi="Times New Roman"/>
          <w:b/>
          <w:bCs/>
          <w:sz w:val="24"/>
          <w:szCs w:val="24"/>
          <w:lang w:eastAsia="lv-LV"/>
        </w:rPr>
        <w:t> 23</w:t>
      </w:r>
      <w:r w:rsidRPr="000C4504">
        <w:rPr>
          <w:rFonts w:ascii="Times New Roman" w:eastAsia="Times New Roman" w:hAnsi="Times New Roman"/>
          <w:b/>
          <w:bCs/>
          <w:sz w:val="24"/>
          <w:szCs w:val="24"/>
          <w:lang w:eastAsia="lv-LV"/>
        </w:rPr>
        <w:t>/2024 “</w:t>
      </w:r>
      <w:r>
        <w:rPr>
          <w:rFonts w:ascii="Times New Roman" w:eastAsia="Times New Roman" w:hAnsi="Times New Roman"/>
          <w:b/>
          <w:bCs/>
          <w:sz w:val="24"/>
          <w:szCs w:val="24"/>
          <w:lang w:eastAsia="lv-LV"/>
        </w:rPr>
        <w:t>Par palīdzību dzīvokļa jautājumu risināšanā</w:t>
      </w:r>
      <w:r w:rsidRPr="000C4504">
        <w:rPr>
          <w:rFonts w:ascii="Times New Roman" w:eastAsia="Times New Roman" w:hAnsi="Times New Roman"/>
          <w:b/>
          <w:bCs/>
          <w:sz w:val="24"/>
          <w:szCs w:val="24"/>
          <w:lang w:eastAsia="lv-LV"/>
        </w:rPr>
        <w:t xml:space="preserve">” </w:t>
      </w:r>
      <w:r>
        <w:rPr>
          <w:rFonts w:ascii="Times New Roman" w:eastAsia="Times New Roman" w:hAnsi="Times New Roman"/>
          <w:b/>
          <w:bCs/>
          <w:sz w:val="24"/>
          <w:szCs w:val="24"/>
          <w:lang w:eastAsia="lv-LV"/>
        </w:rPr>
        <w:t>precizēšanu</w:t>
      </w:r>
    </w:p>
    <w:p w14:paraId="03C51586" w14:textId="77777777" w:rsidR="00B168F2" w:rsidRPr="000C4504" w:rsidRDefault="00B168F2" w:rsidP="00B168F2">
      <w:pPr>
        <w:spacing w:after="0" w:line="240" w:lineRule="auto"/>
        <w:jc w:val="center"/>
        <w:rPr>
          <w:rFonts w:ascii="Times New Roman" w:eastAsia="Times New Roman" w:hAnsi="Times New Roman"/>
          <w:b/>
          <w:bCs/>
          <w:sz w:val="24"/>
          <w:szCs w:val="24"/>
          <w:lang w:eastAsia="lv-LV"/>
        </w:rPr>
      </w:pPr>
    </w:p>
    <w:p w14:paraId="3AD75EBE" w14:textId="77777777" w:rsidR="00B168F2" w:rsidRDefault="00B168F2" w:rsidP="00B168F2">
      <w:pPr>
        <w:spacing w:after="0" w:line="240" w:lineRule="auto"/>
        <w:ind w:firstLine="720"/>
        <w:jc w:val="both"/>
        <w:outlineLvl w:val="1"/>
        <w:rPr>
          <w:rFonts w:ascii="Times New Roman" w:eastAsia="Times New Roman" w:hAnsi="Times New Roman"/>
          <w:bCs/>
          <w:sz w:val="24"/>
          <w:szCs w:val="24"/>
          <w:lang w:eastAsia="lv-LV"/>
        </w:rPr>
      </w:pPr>
      <w:r>
        <w:rPr>
          <w:rFonts w:ascii="Times New Roman" w:eastAsia="Times New Roman" w:hAnsi="Times New Roman"/>
          <w:sz w:val="24"/>
          <w:szCs w:val="36"/>
          <w:lang w:eastAsia="lv-LV"/>
        </w:rPr>
        <w:t>Ņemot vērā Vides aizsardzības un reģionālās attīstības ministrijas 10.06.2024. atzinumu Nr. 1-18/3751 “Par saistošajiem noteikumiem Nr.23/2024” un pamatojoties uz Pašvaldību likuma 47.panta piekto daļu,</w:t>
      </w:r>
    </w:p>
    <w:p w14:paraId="735A7E2C" w14:textId="77777777" w:rsidR="00B168F2" w:rsidRPr="000C4504" w:rsidRDefault="00B168F2" w:rsidP="00B168F2">
      <w:pPr>
        <w:spacing w:after="0" w:line="240" w:lineRule="auto"/>
        <w:ind w:firstLine="720"/>
        <w:jc w:val="both"/>
        <w:outlineLvl w:val="1"/>
        <w:rPr>
          <w:rFonts w:ascii="Times New Roman" w:eastAsia="Times New Roman" w:hAnsi="Times New Roman"/>
          <w:sz w:val="24"/>
          <w:szCs w:val="36"/>
          <w:lang w:eastAsia="lv-LV"/>
        </w:rPr>
      </w:pPr>
    </w:p>
    <w:p w14:paraId="71A742C3" w14:textId="77777777" w:rsidR="00B168F2" w:rsidRDefault="00B168F2" w:rsidP="00B168F2">
      <w:pPr>
        <w:spacing w:after="0" w:line="240" w:lineRule="auto"/>
        <w:jc w:val="both"/>
        <w:outlineLvl w:val="1"/>
        <w:rPr>
          <w:rFonts w:ascii="Times New Roman" w:eastAsia="Times New Roman" w:hAnsi="Times New Roman"/>
          <w:sz w:val="24"/>
          <w:szCs w:val="24"/>
          <w:lang w:eastAsia="lv-LV"/>
        </w:rPr>
      </w:pPr>
      <w:r w:rsidRPr="000C4504">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 xml:space="preserve">Precizēt Alūksnes novada pašvaldības domes 2024. gada 30. maija </w:t>
      </w:r>
      <w:r w:rsidRPr="000C4504">
        <w:rPr>
          <w:rFonts w:ascii="Times New Roman" w:eastAsia="Times New Roman" w:hAnsi="Times New Roman"/>
          <w:bCs/>
          <w:sz w:val="24"/>
          <w:szCs w:val="24"/>
          <w:lang w:eastAsia="lv-LV"/>
        </w:rPr>
        <w:t>saistošos noteikumus Nr.</w:t>
      </w:r>
      <w:r>
        <w:rPr>
          <w:rFonts w:ascii="Times New Roman" w:eastAsia="Times New Roman" w:hAnsi="Times New Roman"/>
          <w:bCs/>
          <w:sz w:val="24"/>
          <w:szCs w:val="24"/>
          <w:lang w:eastAsia="lv-LV"/>
        </w:rPr>
        <w:t> 23</w:t>
      </w:r>
      <w:r w:rsidRPr="000C4504">
        <w:rPr>
          <w:rFonts w:ascii="Times New Roman" w:eastAsia="Times New Roman" w:hAnsi="Times New Roman"/>
          <w:bCs/>
          <w:sz w:val="24"/>
          <w:szCs w:val="24"/>
          <w:lang w:eastAsia="lv-LV"/>
        </w:rPr>
        <w:t>/2024 “</w:t>
      </w:r>
      <w:r>
        <w:rPr>
          <w:rFonts w:ascii="Times New Roman" w:eastAsia="Times New Roman" w:hAnsi="Times New Roman"/>
          <w:bCs/>
          <w:sz w:val="24"/>
          <w:szCs w:val="24"/>
          <w:lang w:eastAsia="lv-LV"/>
        </w:rPr>
        <w:t>Par palīdzību dzīvokļa jautājumu risināšanā</w:t>
      </w:r>
      <w:r w:rsidRPr="000C4504">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38B91885" w14:textId="77777777" w:rsidR="00B168F2" w:rsidRDefault="00B168F2" w:rsidP="00B168F2">
      <w:pPr>
        <w:spacing w:after="0" w:line="240" w:lineRule="auto"/>
        <w:jc w:val="both"/>
        <w:outlineLvl w:val="1"/>
        <w:rPr>
          <w:rFonts w:ascii="Times New Roman" w:eastAsia="Times New Roman" w:hAnsi="Times New Roman"/>
          <w:sz w:val="24"/>
          <w:szCs w:val="36"/>
          <w:lang w:eastAsia="lv-LV"/>
        </w:rPr>
      </w:pPr>
    </w:p>
    <w:p w14:paraId="2FEE6C87" w14:textId="77777777" w:rsidR="00B168F2" w:rsidRDefault="00B168F2" w:rsidP="00B168F2">
      <w:pPr>
        <w:numPr>
          <w:ilvl w:val="0"/>
          <w:numId w:val="1"/>
        </w:numPr>
        <w:spacing w:after="0" w:line="240" w:lineRule="auto"/>
        <w:jc w:val="both"/>
        <w:outlineLvl w:val="1"/>
        <w:rPr>
          <w:rFonts w:ascii="Times New Roman" w:eastAsia="Times New Roman" w:hAnsi="Times New Roman"/>
          <w:sz w:val="24"/>
          <w:szCs w:val="36"/>
          <w:lang w:eastAsia="lv-LV"/>
        </w:rPr>
      </w:pPr>
      <w:r>
        <w:rPr>
          <w:rFonts w:ascii="Times New Roman" w:eastAsia="Times New Roman" w:hAnsi="Times New Roman"/>
          <w:sz w:val="24"/>
          <w:szCs w:val="36"/>
          <w:lang w:eastAsia="lv-LV"/>
        </w:rPr>
        <w:t>Svītrot 14.6.2. apakšpunktu;</w:t>
      </w:r>
    </w:p>
    <w:p w14:paraId="68C63216" w14:textId="77777777" w:rsidR="00B168F2" w:rsidRDefault="00B168F2" w:rsidP="00B168F2">
      <w:pPr>
        <w:numPr>
          <w:ilvl w:val="0"/>
          <w:numId w:val="1"/>
        </w:numPr>
        <w:spacing w:after="0" w:line="240" w:lineRule="auto"/>
        <w:jc w:val="both"/>
        <w:outlineLvl w:val="1"/>
        <w:rPr>
          <w:rFonts w:ascii="Times New Roman" w:eastAsia="Times New Roman" w:hAnsi="Times New Roman"/>
          <w:sz w:val="24"/>
          <w:szCs w:val="36"/>
          <w:lang w:eastAsia="lv-LV"/>
        </w:rPr>
      </w:pPr>
      <w:r>
        <w:rPr>
          <w:rFonts w:ascii="Times New Roman" w:eastAsia="Times New Roman" w:hAnsi="Times New Roman"/>
          <w:sz w:val="24"/>
          <w:szCs w:val="36"/>
          <w:lang w:eastAsia="lv-LV"/>
        </w:rPr>
        <w:t>Svītrot 14.7. apakšpunktu;</w:t>
      </w:r>
    </w:p>
    <w:p w14:paraId="167C54EE" w14:textId="77777777" w:rsidR="00B168F2" w:rsidRDefault="00B168F2" w:rsidP="00B168F2">
      <w:pPr>
        <w:numPr>
          <w:ilvl w:val="0"/>
          <w:numId w:val="1"/>
        </w:numPr>
        <w:spacing w:after="0" w:line="240" w:lineRule="auto"/>
        <w:jc w:val="both"/>
        <w:outlineLvl w:val="1"/>
        <w:rPr>
          <w:rFonts w:ascii="Times New Roman" w:eastAsia="Times New Roman" w:hAnsi="Times New Roman"/>
          <w:sz w:val="24"/>
          <w:szCs w:val="36"/>
          <w:lang w:eastAsia="lv-LV"/>
        </w:rPr>
      </w:pPr>
      <w:r>
        <w:rPr>
          <w:rFonts w:ascii="Times New Roman" w:eastAsia="Times New Roman" w:hAnsi="Times New Roman"/>
          <w:sz w:val="24"/>
          <w:szCs w:val="36"/>
          <w:lang w:eastAsia="lv-LV"/>
        </w:rPr>
        <w:t>Papildināt 14.2. un 14.4. apakšpunktu ar vārdiem “ja šāda informācija nav pašvaldības rīcībā un pašvaldība objektīvu iemeslu dēļ nevar to iegūt pati”;</w:t>
      </w:r>
    </w:p>
    <w:p w14:paraId="3AD2E742" w14:textId="77777777" w:rsidR="00B168F2" w:rsidRDefault="00B168F2" w:rsidP="00B168F2">
      <w:pPr>
        <w:numPr>
          <w:ilvl w:val="0"/>
          <w:numId w:val="1"/>
        </w:numPr>
        <w:spacing w:after="0" w:line="240" w:lineRule="auto"/>
        <w:jc w:val="both"/>
        <w:outlineLvl w:val="1"/>
        <w:rPr>
          <w:rFonts w:ascii="Times New Roman" w:eastAsia="Times New Roman" w:hAnsi="Times New Roman"/>
          <w:sz w:val="24"/>
          <w:szCs w:val="36"/>
          <w:lang w:eastAsia="lv-LV"/>
        </w:rPr>
      </w:pPr>
      <w:r>
        <w:rPr>
          <w:rFonts w:ascii="Times New Roman" w:eastAsia="Times New Roman" w:hAnsi="Times New Roman"/>
          <w:sz w:val="24"/>
          <w:szCs w:val="36"/>
          <w:lang w:eastAsia="lv-LV"/>
        </w:rPr>
        <w:t>Svītrot 16.punktā vārdus “un visu dokumentu”;</w:t>
      </w:r>
    </w:p>
    <w:p w14:paraId="47FE9CAD" w14:textId="77777777" w:rsidR="00B168F2" w:rsidRDefault="00B168F2" w:rsidP="00B168F2">
      <w:pPr>
        <w:numPr>
          <w:ilvl w:val="0"/>
          <w:numId w:val="1"/>
        </w:numPr>
        <w:spacing w:after="0" w:line="240" w:lineRule="auto"/>
        <w:jc w:val="both"/>
        <w:outlineLvl w:val="1"/>
        <w:rPr>
          <w:rFonts w:ascii="Times New Roman" w:eastAsia="Times New Roman" w:hAnsi="Times New Roman"/>
          <w:sz w:val="24"/>
          <w:szCs w:val="36"/>
          <w:lang w:eastAsia="lv-LV"/>
        </w:rPr>
      </w:pPr>
      <w:r>
        <w:rPr>
          <w:rFonts w:ascii="Times New Roman" w:eastAsia="Times New Roman" w:hAnsi="Times New Roman"/>
          <w:sz w:val="24"/>
          <w:szCs w:val="36"/>
          <w:lang w:eastAsia="lv-LV"/>
        </w:rPr>
        <w:t xml:space="preserve">Izteikt 35.punktu šādā redakcijā: </w:t>
      </w:r>
    </w:p>
    <w:p w14:paraId="0DCD808D" w14:textId="77777777" w:rsidR="00B168F2" w:rsidRDefault="00B168F2" w:rsidP="00B168F2">
      <w:pPr>
        <w:spacing w:after="0" w:line="240" w:lineRule="auto"/>
        <w:ind w:left="720"/>
        <w:jc w:val="both"/>
        <w:outlineLvl w:val="1"/>
        <w:rPr>
          <w:rFonts w:ascii="Times New Roman" w:eastAsia="Times New Roman" w:hAnsi="Times New Roman"/>
          <w:sz w:val="24"/>
          <w:szCs w:val="36"/>
          <w:lang w:eastAsia="lv-LV"/>
        </w:rPr>
      </w:pPr>
      <w:r>
        <w:rPr>
          <w:rFonts w:ascii="Times New Roman" w:eastAsia="Times New Roman" w:hAnsi="Times New Roman"/>
          <w:sz w:val="24"/>
          <w:szCs w:val="36"/>
          <w:lang w:eastAsia="lv-LV"/>
        </w:rPr>
        <w:t>“35.</w:t>
      </w:r>
      <w:r w:rsidRPr="0098098B">
        <w:rPr>
          <w:rFonts w:ascii="Times New Roman" w:eastAsia="Times New Roman" w:hAnsi="Times New Roman"/>
          <w:sz w:val="24"/>
          <w:szCs w:val="36"/>
          <w:lang w:eastAsia="lv-LV"/>
        </w:rPr>
        <w:t xml:space="preserve"> Pašvaldība</w:t>
      </w:r>
      <w:r>
        <w:rPr>
          <w:rFonts w:ascii="Times New Roman" w:eastAsia="Times New Roman" w:hAnsi="Times New Roman"/>
          <w:sz w:val="24"/>
          <w:szCs w:val="36"/>
          <w:lang w:eastAsia="lv-LV"/>
        </w:rPr>
        <w:t>i</w:t>
      </w:r>
      <w:r w:rsidRPr="0098098B">
        <w:rPr>
          <w:rFonts w:ascii="Times New Roman" w:eastAsia="Times New Roman" w:hAnsi="Times New Roman"/>
          <w:sz w:val="24"/>
          <w:szCs w:val="36"/>
          <w:lang w:eastAsia="lv-LV"/>
        </w:rPr>
        <w:t xml:space="preserve"> noteikumu 34.puntā minēto dzīvojamo telpu ir tiesības izīrēt personai, kas nepieciešama Pašvaldībā kā kvalificēts speciālists un ir nodarbināta Pašvaldības iestādē vai Pašvaldības kapitālsabiedrībās, ar pašvaldības funkciju nodrošināšanu saistītu pārvaldes uzdevumu jomās, kurās konstatēts nepietiekams kvalificētu speciālistu nodrošinājums - veselības aprūpes, izglītības, sociālā darba, būvniecības, būvniecības uzraudzības vai arhitektūras jomas speciālisti.</w:t>
      </w:r>
      <w:r>
        <w:rPr>
          <w:rFonts w:ascii="Times New Roman" w:eastAsia="Times New Roman" w:hAnsi="Times New Roman"/>
          <w:sz w:val="24"/>
          <w:szCs w:val="36"/>
          <w:lang w:eastAsia="lv-LV"/>
        </w:rPr>
        <w:t>”</w:t>
      </w:r>
    </w:p>
    <w:bookmarkEnd w:id="0"/>
    <w:p w14:paraId="5C4F301D" w14:textId="77777777" w:rsidR="006E2BC4" w:rsidRDefault="006E2BC4"/>
    <w:sectPr w:rsidR="006E2BC4"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786"/>
    <w:multiLevelType w:val="hybridMultilevel"/>
    <w:tmpl w:val="8E6C2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33269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F2"/>
    <w:rsid w:val="004F7DD7"/>
    <w:rsid w:val="006E2BC4"/>
    <w:rsid w:val="00B16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E318"/>
  <w15:chartTrackingRefBased/>
  <w15:docId w15:val="{FFF35B80-A5B7-4252-A91C-0296F293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aliases w:val="Parastais"/>
    <w:qFormat/>
    <w:rsid w:val="00B168F2"/>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818</Words>
  <Characters>467</Characters>
  <Application>Microsoft Office Word</Application>
  <DocSecurity>0</DocSecurity>
  <Lines>3</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2024-06-12T08:59:00Z</dcterms:created>
  <dcterms:modified xsi:type="dcterms:W3CDTF">2024-06-12T08:59:00Z</dcterms:modified>
</cp:coreProperties>
</file>