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7B83" w14:textId="77777777" w:rsidR="00546667" w:rsidRPr="00557934" w:rsidRDefault="00546667" w:rsidP="00546667">
      <w:pPr>
        <w:spacing w:after="0" w:line="240" w:lineRule="auto"/>
        <w:jc w:val="right"/>
        <w:rPr>
          <w:rFonts w:eastAsia="Times New Roman" w:cs="Times New Roman"/>
          <w:i/>
          <w:szCs w:val="24"/>
          <w:lang w:val="lv-LV"/>
        </w:rPr>
      </w:pPr>
      <w:r w:rsidRPr="00557934">
        <w:rPr>
          <w:rFonts w:eastAsia="Times New Roman" w:cs="Times New Roman"/>
          <w:i/>
          <w:szCs w:val="24"/>
          <w:lang w:val="lv-LV"/>
        </w:rPr>
        <w:t>Lēmuma projekts</w:t>
      </w:r>
    </w:p>
    <w:p w14:paraId="25E70532" w14:textId="77777777" w:rsidR="00546667" w:rsidRPr="00557934" w:rsidRDefault="00546667" w:rsidP="00546667">
      <w:pPr>
        <w:spacing w:after="0" w:line="240" w:lineRule="auto"/>
        <w:jc w:val="right"/>
        <w:rPr>
          <w:rFonts w:eastAsia="Times New Roman" w:cs="Times New Roman"/>
          <w:i/>
          <w:szCs w:val="24"/>
          <w:lang w:val="lv-LV"/>
        </w:rPr>
      </w:pPr>
    </w:p>
    <w:p w14:paraId="2ABF06EA" w14:textId="743705E6" w:rsidR="00546667" w:rsidRDefault="00546667" w:rsidP="00546667">
      <w:pPr>
        <w:spacing w:after="0" w:line="240" w:lineRule="auto"/>
        <w:jc w:val="center"/>
        <w:rPr>
          <w:rFonts w:eastAsia="Times New Roman" w:cs="Times New Roman"/>
          <w:b/>
          <w:szCs w:val="24"/>
          <w:lang w:val="lv-LV"/>
        </w:rPr>
      </w:pPr>
      <w:r>
        <w:rPr>
          <w:rFonts w:eastAsia="Times New Roman" w:cs="Times New Roman"/>
          <w:b/>
          <w:szCs w:val="24"/>
          <w:lang w:val="lv-LV"/>
        </w:rPr>
        <w:t>Par saistošo noteikumu Nr.</w:t>
      </w:r>
      <w:bookmarkStart w:id="0" w:name="_Hlk164674169"/>
      <w:r>
        <w:rPr>
          <w:rFonts w:eastAsia="Times New Roman" w:cs="Times New Roman"/>
          <w:b/>
          <w:szCs w:val="24"/>
          <w:lang w:val="lv-LV"/>
        </w:rPr>
        <w:t>21/2024</w:t>
      </w:r>
      <w:r>
        <w:rPr>
          <w:rFonts w:eastAsia="Times New Roman" w:cs="Times New Roman"/>
          <w:b/>
          <w:szCs w:val="24"/>
          <w:lang w:val="lv-LV"/>
        </w:rPr>
        <w:t xml:space="preserve"> “</w:t>
      </w:r>
      <w:r w:rsidRPr="00511DEF">
        <w:rPr>
          <w:rFonts w:eastAsia="Times New Roman" w:cs="Times New Roman"/>
          <w:b/>
          <w:szCs w:val="24"/>
          <w:lang w:val="lv-LV" w:eastAsia="lv-LV"/>
        </w:rPr>
        <w:t>Par valsts nodevu atvieglojumiem</w:t>
      </w:r>
      <w:r>
        <w:rPr>
          <w:rFonts w:eastAsia="Times New Roman" w:cs="Times New Roman"/>
          <w:b/>
          <w:szCs w:val="24"/>
          <w:lang w:val="lv-LV"/>
        </w:rPr>
        <w:t xml:space="preserve"> </w:t>
      </w:r>
      <w:r w:rsidRPr="00511DEF">
        <w:rPr>
          <w:rFonts w:eastAsia="Times New Roman" w:cs="Times New Roman"/>
          <w:b/>
          <w:szCs w:val="24"/>
          <w:lang w:val="lv-LV" w:eastAsia="lv-LV"/>
        </w:rPr>
        <w:t>bāriņtiesas pakalpojumiem Alūksnes novadā</w:t>
      </w:r>
      <w:r>
        <w:rPr>
          <w:rFonts w:eastAsia="Times New Roman" w:cs="Times New Roman"/>
          <w:b/>
          <w:szCs w:val="24"/>
          <w:lang w:val="lv-LV"/>
        </w:rPr>
        <w:t>” precizēšanu</w:t>
      </w:r>
    </w:p>
    <w:p w14:paraId="7D78F7E0" w14:textId="77777777" w:rsidR="00546667" w:rsidRDefault="00546667" w:rsidP="00546667">
      <w:pPr>
        <w:spacing w:after="0" w:line="240" w:lineRule="auto"/>
        <w:jc w:val="center"/>
        <w:rPr>
          <w:rFonts w:eastAsia="Times New Roman" w:cs="Times New Roman"/>
          <w:b/>
          <w:szCs w:val="24"/>
          <w:lang w:val="lv-LV"/>
        </w:rPr>
      </w:pPr>
    </w:p>
    <w:p w14:paraId="24CA4769" w14:textId="77777777" w:rsidR="00546667" w:rsidRPr="00486AF6" w:rsidRDefault="00546667" w:rsidP="00546667">
      <w:pPr>
        <w:tabs>
          <w:tab w:val="left" w:pos="900"/>
          <w:tab w:val="num" w:pos="1080"/>
        </w:tabs>
        <w:jc w:val="both"/>
        <w:rPr>
          <w:lang w:val="lv-LV"/>
        </w:rPr>
      </w:pPr>
      <w:r>
        <w:rPr>
          <w:lang w:val="lv-LV"/>
        </w:rPr>
        <w:tab/>
      </w:r>
      <w:r w:rsidRPr="00486AF6">
        <w:rPr>
          <w:lang w:val="lv-LV"/>
        </w:rPr>
        <w:t>Ņemot vērā Vides aizsardzības un reģionālās attīstības ministrijas 1</w:t>
      </w:r>
      <w:r>
        <w:rPr>
          <w:lang w:val="lv-LV"/>
        </w:rPr>
        <w:t>3</w:t>
      </w:r>
      <w:r w:rsidRPr="00486AF6">
        <w:rPr>
          <w:lang w:val="lv-LV"/>
        </w:rPr>
        <w:t>.0</w:t>
      </w:r>
      <w:r>
        <w:rPr>
          <w:lang w:val="lv-LV"/>
        </w:rPr>
        <w:t>6</w:t>
      </w:r>
      <w:r w:rsidRPr="00486AF6">
        <w:rPr>
          <w:lang w:val="lv-LV"/>
        </w:rPr>
        <w:t>.2024. atzinumu Nr.</w:t>
      </w:r>
      <w:r>
        <w:rPr>
          <w:lang w:val="lv-LV"/>
        </w:rPr>
        <w:t> </w:t>
      </w:r>
      <w:r w:rsidRPr="00486AF6">
        <w:rPr>
          <w:lang w:val="lv-LV"/>
        </w:rPr>
        <w:t>1-18/3</w:t>
      </w:r>
      <w:r>
        <w:rPr>
          <w:lang w:val="lv-LV"/>
        </w:rPr>
        <w:t>830</w:t>
      </w:r>
      <w:r w:rsidRPr="00486AF6">
        <w:rPr>
          <w:lang w:val="lv-LV"/>
        </w:rPr>
        <w:t xml:space="preserve"> “</w:t>
      </w:r>
      <w:r>
        <w:rPr>
          <w:rFonts w:eastAsia="Times New Roman" w:cs="Times New Roman"/>
          <w:szCs w:val="24"/>
          <w:lang w:val="lv-LV" w:eastAsia="lv-LV"/>
        </w:rPr>
        <w:t>Par saistošajiem noteikumiem Nr.21/2024</w:t>
      </w:r>
      <w:r w:rsidRPr="00486AF6">
        <w:rPr>
          <w:lang w:val="lv-LV"/>
        </w:rPr>
        <w:t>” un pamatojoties uz Pašvaldību likuma 47.</w:t>
      </w:r>
      <w:r>
        <w:rPr>
          <w:lang w:val="lv-LV"/>
        </w:rPr>
        <w:t> </w:t>
      </w:r>
      <w:r w:rsidRPr="00486AF6">
        <w:rPr>
          <w:lang w:val="lv-LV"/>
        </w:rPr>
        <w:t xml:space="preserve">panta piekto daļu, </w:t>
      </w:r>
      <w:r w:rsidRPr="00486AF6">
        <w:rPr>
          <w:color w:val="000000"/>
          <w:lang w:val="lv-LV"/>
        </w:rPr>
        <w:tab/>
      </w:r>
    </w:p>
    <w:p w14:paraId="7F224482" w14:textId="77777777" w:rsidR="00546667" w:rsidRPr="00486AF6" w:rsidRDefault="00546667" w:rsidP="00546667">
      <w:pPr>
        <w:ind w:firstLine="720"/>
        <w:jc w:val="both"/>
        <w:rPr>
          <w:color w:val="000000"/>
          <w:lang w:val="lv-LV"/>
        </w:rPr>
      </w:pPr>
      <w:r w:rsidRPr="00486AF6">
        <w:rPr>
          <w:color w:val="000000"/>
          <w:lang w:val="lv-LV"/>
        </w:rPr>
        <w:t>precizēt Alūksnes novada pašvaldības domes 2024.</w:t>
      </w:r>
      <w:r>
        <w:rPr>
          <w:color w:val="000000"/>
          <w:lang w:val="lv-LV"/>
        </w:rPr>
        <w:t> </w:t>
      </w:r>
      <w:r w:rsidRPr="00486AF6">
        <w:rPr>
          <w:color w:val="000000"/>
          <w:lang w:val="lv-LV"/>
        </w:rPr>
        <w:t xml:space="preserve">gada </w:t>
      </w:r>
      <w:r>
        <w:rPr>
          <w:color w:val="000000"/>
          <w:lang w:val="lv-LV"/>
        </w:rPr>
        <w:t>30</w:t>
      </w:r>
      <w:r w:rsidRPr="00486AF6">
        <w:rPr>
          <w:color w:val="000000"/>
          <w:lang w:val="lv-LV"/>
        </w:rPr>
        <w:t>. </w:t>
      </w:r>
      <w:r>
        <w:rPr>
          <w:color w:val="000000"/>
          <w:lang w:val="lv-LV"/>
        </w:rPr>
        <w:t>maija</w:t>
      </w:r>
      <w:r w:rsidRPr="00486AF6">
        <w:rPr>
          <w:color w:val="000000"/>
          <w:lang w:val="lv-LV"/>
        </w:rPr>
        <w:t xml:space="preserve"> saistošos noteikumus Nr.</w:t>
      </w:r>
      <w:r>
        <w:rPr>
          <w:color w:val="000000"/>
          <w:lang w:val="lv-LV"/>
        </w:rPr>
        <w:t> 21</w:t>
      </w:r>
      <w:r w:rsidRPr="00486AF6">
        <w:rPr>
          <w:color w:val="000000"/>
          <w:lang w:val="lv-LV"/>
        </w:rPr>
        <w:t>/2024 “</w:t>
      </w:r>
      <w:r w:rsidRPr="00486AF6">
        <w:rPr>
          <w:rFonts w:eastAsia="Times New Roman" w:cs="Times New Roman"/>
          <w:szCs w:val="24"/>
          <w:lang w:val="lv-LV" w:eastAsia="lv-LV"/>
        </w:rPr>
        <w:t>Par valsts nodevu atvieglojumiem</w:t>
      </w:r>
      <w:r w:rsidRPr="00486AF6">
        <w:rPr>
          <w:rFonts w:eastAsia="Times New Roman" w:cs="Times New Roman"/>
          <w:szCs w:val="24"/>
          <w:lang w:val="lv-LV"/>
        </w:rPr>
        <w:t xml:space="preserve"> </w:t>
      </w:r>
      <w:r w:rsidRPr="00486AF6">
        <w:rPr>
          <w:rFonts w:eastAsia="Times New Roman" w:cs="Times New Roman"/>
          <w:szCs w:val="24"/>
          <w:lang w:val="lv-LV" w:eastAsia="lv-LV"/>
        </w:rPr>
        <w:t>bāriņtiesas pakalpojumiem Alūksnes novadā</w:t>
      </w:r>
      <w:r w:rsidRPr="00486AF6">
        <w:rPr>
          <w:color w:val="000000"/>
          <w:lang w:val="lv-LV"/>
        </w:rPr>
        <w:t>”.</w:t>
      </w:r>
    </w:p>
    <w:bookmarkEnd w:id="0"/>
    <w:p w14:paraId="414ACCC5" w14:textId="77777777" w:rsidR="00546667" w:rsidRPr="000908B7" w:rsidRDefault="00546667" w:rsidP="00546667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val="lv-LV"/>
        </w:rPr>
      </w:pPr>
    </w:p>
    <w:p w14:paraId="6D9E861E" w14:textId="77777777" w:rsidR="00546667" w:rsidRPr="000B1942" w:rsidRDefault="00546667" w:rsidP="00546667">
      <w:pPr>
        <w:spacing w:after="0" w:line="240" w:lineRule="auto"/>
        <w:ind w:right="-483"/>
        <w:jc w:val="right"/>
        <w:rPr>
          <w:rFonts w:eastAsia="Times New Roman" w:cs="Times New Roman"/>
          <w:bCs/>
          <w:i/>
          <w:iCs/>
          <w:color w:val="000000" w:themeColor="text1"/>
          <w:szCs w:val="24"/>
          <w:lang w:val="lv-LV" w:eastAsia="lv-LV"/>
        </w:rPr>
      </w:pPr>
      <w:r w:rsidRPr="000B1942">
        <w:rPr>
          <w:rFonts w:eastAsia="Times New Roman" w:cs="Times New Roman"/>
          <w:bCs/>
          <w:i/>
          <w:iCs/>
          <w:color w:val="000000" w:themeColor="text1"/>
          <w:szCs w:val="24"/>
          <w:lang w:val="lv-LV" w:eastAsia="lv-LV"/>
        </w:rPr>
        <w:t>PROJEKTS</w:t>
      </w:r>
    </w:p>
    <w:p w14:paraId="758C23F5" w14:textId="77777777" w:rsidR="00546667" w:rsidRPr="000908B7" w:rsidRDefault="00546667" w:rsidP="00546667">
      <w:pPr>
        <w:spacing w:after="0" w:line="240" w:lineRule="auto"/>
        <w:ind w:right="-483"/>
        <w:jc w:val="center"/>
        <w:rPr>
          <w:rFonts w:eastAsia="Times New Roman" w:cs="Times New Roman"/>
          <w:bCs/>
          <w:color w:val="000000" w:themeColor="text1"/>
          <w:szCs w:val="24"/>
          <w:lang w:val="lv-LV" w:eastAsia="lv-LV"/>
        </w:rPr>
      </w:pPr>
    </w:p>
    <w:p w14:paraId="1C4C5FF9" w14:textId="77777777" w:rsidR="00546667" w:rsidRPr="00B36266" w:rsidRDefault="00546667" w:rsidP="00546667">
      <w:pPr>
        <w:spacing w:after="0" w:line="240" w:lineRule="auto"/>
        <w:ind w:right="-483"/>
        <w:jc w:val="right"/>
        <w:rPr>
          <w:rFonts w:eastAsia="Times New Roman" w:cs="Times New Roman"/>
          <w:bCs/>
          <w:color w:val="000000" w:themeColor="text1"/>
          <w:szCs w:val="24"/>
          <w:lang w:val="lv-LV" w:eastAsia="lv-LV"/>
        </w:rPr>
      </w:pPr>
      <w:r w:rsidRPr="00B36266">
        <w:rPr>
          <w:rFonts w:eastAsia="Times New Roman" w:cs="Times New Roman"/>
          <w:bCs/>
          <w:color w:val="000000" w:themeColor="text1"/>
          <w:szCs w:val="24"/>
          <w:lang w:val="lv-LV" w:eastAsia="lv-LV"/>
        </w:rPr>
        <w:t>Precizēti</w:t>
      </w:r>
    </w:p>
    <w:p w14:paraId="657F7E21" w14:textId="0FE9E95A" w:rsidR="00546667" w:rsidRPr="000B1942" w:rsidRDefault="00546667" w:rsidP="00546667">
      <w:pPr>
        <w:spacing w:after="0" w:line="240" w:lineRule="auto"/>
        <w:ind w:right="-483"/>
        <w:jc w:val="right"/>
        <w:rPr>
          <w:rFonts w:eastAsia="Times New Roman" w:cs="Times New Roman"/>
          <w:color w:val="000000" w:themeColor="text1"/>
          <w:szCs w:val="24"/>
          <w:lang w:val="lv-LV" w:eastAsia="lv-LV"/>
        </w:rPr>
      </w:pPr>
      <w:r>
        <w:rPr>
          <w:rFonts w:eastAsia="Times New Roman" w:cs="Times New Roman"/>
          <w:color w:val="000000" w:themeColor="text1"/>
          <w:szCs w:val="24"/>
          <w:lang w:val="lv-LV" w:eastAsia="lv-LV"/>
        </w:rPr>
        <w:t xml:space="preserve">ar </w:t>
      </w:r>
      <w:r w:rsidRPr="000B1942">
        <w:rPr>
          <w:rFonts w:eastAsia="Times New Roman" w:cs="Times New Roman"/>
          <w:color w:val="000000" w:themeColor="text1"/>
          <w:szCs w:val="24"/>
          <w:lang w:val="lv-LV" w:eastAsia="lv-LV"/>
        </w:rPr>
        <w:t>Alūksnes novada domes</w:t>
      </w:r>
    </w:p>
    <w:p w14:paraId="6716AE00" w14:textId="1BA9D22D" w:rsidR="00546667" w:rsidRPr="000B1942" w:rsidRDefault="00546667" w:rsidP="00546667">
      <w:pPr>
        <w:spacing w:after="0" w:line="240" w:lineRule="auto"/>
        <w:ind w:right="-483"/>
        <w:jc w:val="right"/>
        <w:rPr>
          <w:rFonts w:eastAsia="Times New Roman" w:cs="Times New Roman"/>
          <w:color w:val="000000" w:themeColor="text1"/>
          <w:szCs w:val="24"/>
          <w:lang w:val="lv-LV" w:eastAsia="lv-LV"/>
        </w:rPr>
      </w:pPr>
      <w:r w:rsidRPr="000B1942">
        <w:rPr>
          <w:rFonts w:eastAsia="Times New Roman" w:cs="Times New Roman"/>
          <w:color w:val="000000" w:themeColor="text1"/>
          <w:szCs w:val="24"/>
          <w:lang w:val="lv-LV" w:eastAsia="lv-LV"/>
        </w:rPr>
        <w:t xml:space="preserve">  ________ lēmumu Nr._____</w:t>
      </w:r>
    </w:p>
    <w:p w14:paraId="6C1E130F" w14:textId="77777777" w:rsidR="00546667" w:rsidRPr="000B1942" w:rsidRDefault="00546667" w:rsidP="00546667">
      <w:pPr>
        <w:spacing w:after="0" w:line="240" w:lineRule="auto"/>
        <w:ind w:right="-483"/>
        <w:jc w:val="right"/>
        <w:rPr>
          <w:rFonts w:eastAsia="Times New Roman" w:cs="Times New Roman"/>
          <w:color w:val="000000" w:themeColor="text1"/>
          <w:szCs w:val="24"/>
          <w:lang w:val="lv-LV" w:eastAsia="lv-LV"/>
        </w:rPr>
      </w:pPr>
      <w:r w:rsidRPr="000B1942">
        <w:rPr>
          <w:rFonts w:eastAsia="Times New Roman" w:cs="Times New Roman"/>
          <w:color w:val="000000" w:themeColor="text1"/>
          <w:szCs w:val="24"/>
          <w:lang w:val="lv-LV" w:eastAsia="lv-LV"/>
        </w:rPr>
        <w:t>(protokols  Nr.____, ______)</w:t>
      </w:r>
    </w:p>
    <w:p w14:paraId="58CE1737" w14:textId="77777777" w:rsidR="00546667" w:rsidRPr="000908B7" w:rsidRDefault="00546667" w:rsidP="00546667">
      <w:pPr>
        <w:spacing w:after="0" w:line="240" w:lineRule="auto"/>
        <w:ind w:right="-483"/>
        <w:rPr>
          <w:rFonts w:eastAsia="Times New Roman" w:cs="Times New Roman"/>
          <w:bCs/>
          <w:color w:val="000000" w:themeColor="text1"/>
          <w:szCs w:val="24"/>
          <w:lang w:val="lv-LV" w:eastAsia="lv-LV"/>
        </w:rPr>
      </w:pPr>
    </w:p>
    <w:p w14:paraId="755D810E" w14:textId="77777777" w:rsidR="00546667" w:rsidRPr="000B1942" w:rsidRDefault="00546667" w:rsidP="00546667">
      <w:pPr>
        <w:spacing w:after="0" w:line="240" w:lineRule="auto"/>
        <w:ind w:right="-483"/>
        <w:jc w:val="center"/>
        <w:rPr>
          <w:rFonts w:eastAsia="Times New Roman" w:cs="Times New Roman"/>
          <w:b/>
          <w:color w:val="000000" w:themeColor="text1"/>
          <w:szCs w:val="24"/>
          <w:lang w:val="lv-LV" w:eastAsia="lv-LV"/>
        </w:rPr>
      </w:pPr>
      <w:bookmarkStart w:id="1" w:name="_Hlk169727032"/>
      <w:r w:rsidRPr="000B1942">
        <w:rPr>
          <w:rFonts w:eastAsia="Times New Roman" w:cs="Times New Roman"/>
          <w:b/>
          <w:color w:val="000000" w:themeColor="text1"/>
          <w:szCs w:val="24"/>
          <w:lang w:val="lv-LV" w:eastAsia="lv-LV"/>
        </w:rPr>
        <w:t>Par valsts nodevu atvieglojumiem</w:t>
      </w:r>
    </w:p>
    <w:p w14:paraId="1F2CDB64" w14:textId="77777777" w:rsidR="00546667" w:rsidRPr="000B1942" w:rsidRDefault="00546667" w:rsidP="00546667">
      <w:pPr>
        <w:spacing w:after="0" w:line="240" w:lineRule="auto"/>
        <w:ind w:right="-483"/>
        <w:jc w:val="center"/>
        <w:rPr>
          <w:rFonts w:eastAsia="Times New Roman" w:cs="Times New Roman"/>
          <w:b/>
          <w:color w:val="000000" w:themeColor="text1"/>
          <w:szCs w:val="24"/>
          <w:lang w:val="lv-LV" w:eastAsia="lv-LV"/>
        </w:rPr>
      </w:pPr>
      <w:r w:rsidRPr="000B1942">
        <w:rPr>
          <w:rFonts w:eastAsia="Times New Roman" w:cs="Times New Roman"/>
          <w:b/>
          <w:color w:val="000000" w:themeColor="text1"/>
          <w:szCs w:val="24"/>
          <w:lang w:val="lv-LV" w:eastAsia="lv-LV"/>
        </w:rPr>
        <w:t>bāriņtiesas pakalpojumiem Alūksnes novadā</w:t>
      </w:r>
    </w:p>
    <w:p w14:paraId="16E954FC" w14:textId="77777777" w:rsidR="00546667" w:rsidRPr="000B1942" w:rsidRDefault="00546667" w:rsidP="00546667">
      <w:pPr>
        <w:spacing w:after="0" w:line="240" w:lineRule="auto"/>
        <w:ind w:right="-483"/>
        <w:jc w:val="center"/>
        <w:rPr>
          <w:rFonts w:eastAsia="Times New Roman" w:cs="Times New Roman"/>
          <w:b/>
          <w:color w:val="000000" w:themeColor="text1"/>
          <w:szCs w:val="24"/>
          <w:lang w:val="lv-LV" w:eastAsia="lv-LV"/>
        </w:rPr>
      </w:pPr>
    </w:p>
    <w:p w14:paraId="106E103B" w14:textId="77777777" w:rsidR="00546667" w:rsidRPr="000B1942" w:rsidRDefault="00546667" w:rsidP="00546667">
      <w:pPr>
        <w:spacing w:after="0" w:line="240" w:lineRule="auto"/>
        <w:ind w:right="-483"/>
        <w:rPr>
          <w:rFonts w:eastAsia="Times New Roman" w:cs="Times New Roman"/>
          <w:b/>
          <w:color w:val="000000" w:themeColor="text1"/>
          <w:szCs w:val="24"/>
          <w:lang w:val="lv-LV" w:eastAsia="lv-LV"/>
        </w:rPr>
      </w:pPr>
    </w:p>
    <w:p w14:paraId="69716240" w14:textId="77777777" w:rsidR="00546667" w:rsidRPr="000B1942" w:rsidRDefault="00546667" w:rsidP="00546667">
      <w:pPr>
        <w:spacing w:after="0" w:line="240" w:lineRule="auto"/>
        <w:ind w:right="-483"/>
        <w:jc w:val="right"/>
        <w:rPr>
          <w:rFonts w:eastAsia="Times New Roman" w:cs="Times New Roman"/>
          <w:bCs/>
          <w:i/>
          <w:iCs/>
          <w:color w:val="000000" w:themeColor="text1"/>
          <w:szCs w:val="24"/>
          <w:lang w:val="lv-LV" w:eastAsia="lv-LV"/>
        </w:rPr>
      </w:pPr>
      <w:r w:rsidRPr="000B1942">
        <w:rPr>
          <w:rFonts w:eastAsia="Times New Roman" w:cs="Times New Roman"/>
          <w:bCs/>
          <w:i/>
          <w:iCs/>
          <w:color w:val="000000" w:themeColor="text1"/>
          <w:szCs w:val="24"/>
          <w:lang w:val="lv-LV" w:eastAsia="lv-LV"/>
        </w:rPr>
        <w:t>Izdoti saskaņā ar</w:t>
      </w:r>
    </w:p>
    <w:p w14:paraId="3DD321A5" w14:textId="77777777" w:rsidR="00546667" w:rsidRPr="000B1942" w:rsidRDefault="00546667" w:rsidP="00546667">
      <w:pPr>
        <w:spacing w:after="0" w:line="240" w:lineRule="auto"/>
        <w:ind w:right="-483"/>
        <w:jc w:val="right"/>
        <w:rPr>
          <w:rFonts w:eastAsia="Times New Roman" w:cs="Times New Roman"/>
          <w:bCs/>
          <w:i/>
          <w:iCs/>
          <w:color w:val="000000" w:themeColor="text1"/>
          <w:szCs w:val="24"/>
          <w:lang w:val="lv-LV" w:eastAsia="lv-LV"/>
        </w:rPr>
      </w:pPr>
      <w:r w:rsidRPr="000B1942">
        <w:rPr>
          <w:rFonts w:eastAsia="Times New Roman" w:cs="Times New Roman"/>
          <w:bCs/>
          <w:i/>
          <w:iCs/>
          <w:color w:val="000000" w:themeColor="text1"/>
          <w:szCs w:val="24"/>
          <w:lang w:val="lv-LV" w:eastAsia="lv-LV"/>
        </w:rPr>
        <w:t>Bāriņtiesu likuma 79.</w:t>
      </w:r>
      <w:r>
        <w:rPr>
          <w:rFonts w:eastAsia="Times New Roman" w:cs="Times New Roman"/>
          <w:bCs/>
          <w:i/>
          <w:iCs/>
          <w:color w:val="000000" w:themeColor="text1"/>
          <w:szCs w:val="24"/>
          <w:lang w:val="lv-LV" w:eastAsia="lv-LV"/>
        </w:rPr>
        <w:t> </w:t>
      </w:r>
      <w:r w:rsidRPr="000B1942">
        <w:rPr>
          <w:rFonts w:eastAsia="Times New Roman" w:cs="Times New Roman"/>
          <w:bCs/>
          <w:i/>
          <w:iCs/>
          <w:color w:val="000000" w:themeColor="text1"/>
          <w:szCs w:val="24"/>
          <w:lang w:val="lv-LV" w:eastAsia="lv-LV"/>
        </w:rPr>
        <w:t>panta otro daļu</w:t>
      </w:r>
    </w:p>
    <w:p w14:paraId="67BE7C19" w14:textId="77777777" w:rsidR="00546667" w:rsidRPr="000B1942" w:rsidRDefault="00546667" w:rsidP="00546667">
      <w:pPr>
        <w:spacing w:after="0" w:line="240" w:lineRule="auto"/>
        <w:ind w:right="-483"/>
        <w:rPr>
          <w:rFonts w:eastAsia="Times New Roman" w:cs="Times New Roman"/>
          <w:bCs/>
          <w:i/>
          <w:iCs/>
          <w:color w:val="000000" w:themeColor="text1"/>
          <w:szCs w:val="24"/>
          <w:lang w:val="lv-LV" w:eastAsia="lv-LV"/>
        </w:rPr>
      </w:pPr>
    </w:p>
    <w:p w14:paraId="11ABBE06" w14:textId="77777777" w:rsidR="00546667" w:rsidRPr="000B1942" w:rsidRDefault="00546667" w:rsidP="00546667">
      <w:pPr>
        <w:pStyle w:val="Sarakstarindkopa"/>
        <w:numPr>
          <w:ilvl w:val="0"/>
          <w:numId w:val="1"/>
        </w:numPr>
        <w:spacing w:after="0" w:line="240" w:lineRule="auto"/>
        <w:ind w:right="-483"/>
        <w:jc w:val="both"/>
        <w:rPr>
          <w:rFonts w:cs="Times New Roman"/>
          <w:color w:val="000000" w:themeColor="text1"/>
          <w:szCs w:val="24"/>
          <w:lang w:val="lv-LV"/>
        </w:rPr>
      </w:pPr>
      <w:r w:rsidRPr="000B1942">
        <w:rPr>
          <w:rFonts w:cs="Times New Roman"/>
          <w:color w:val="000000" w:themeColor="text1"/>
          <w:szCs w:val="24"/>
          <w:lang w:val="lv-LV"/>
        </w:rPr>
        <w:t>Saistošie noteikumi “Par valsts nodevu atvieglojumiem bāriņtiesas pakalpojumiem Alūksnes novadā” nosaka valsts nodevu par bāriņtiesas pakalpojumiem atvieglojumus un personu kategorijas, kurām atvieglojumi tiek piemēroti.</w:t>
      </w:r>
    </w:p>
    <w:p w14:paraId="04A5B816" w14:textId="77777777" w:rsidR="00546667" w:rsidRPr="000B1942" w:rsidRDefault="00546667" w:rsidP="00546667">
      <w:pPr>
        <w:pStyle w:val="Sarakstarindkopa"/>
        <w:spacing w:after="0" w:line="240" w:lineRule="auto"/>
        <w:ind w:right="-483"/>
        <w:jc w:val="both"/>
        <w:rPr>
          <w:rFonts w:cs="Times New Roman"/>
          <w:color w:val="000000" w:themeColor="text1"/>
          <w:szCs w:val="24"/>
          <w:lang w:val="lv-LV"/>
        </w:rPr>
      </w:pPr>
    </w:p>
    <w:p w14:paraId="6493D78A" w14:textId="77777777" w:rsidR="00546667" w:rsidRPr="000908B7" w:rsidRDefault="00546667" w:rsidP="00546667">
      <w:pPr>
        <w:pStyle w:val="Sarakstarindkopa"/>
        <w:numPr>
          <w:ilvl w:val="0"/>
          <w:numId w:val="1"/>
        </w:numPr>
        <w:spacing w:before="240" w:after="0" w:line="240" w:lineRule="auto"/>
        <w:ind w:right="-483"/>
        <w:jc w:val="both"/>
        <w:rPr>
          <w:rFonts w:cs="Times New Roman"/>
          <w:color w:val="000000" w:themeColor="text1"/>
          <w:szCs w:val="24"/>
          <w:lang w:val="lv-LV"/>
        </w:rPr>
      </w:pPr>
      <w:r>
        <w:rPr>
          <w:rFonts w:cs="Times New Roman"/>
          <w:color w:val="000000" w:themeColor="text1"/>
          <w:szCs w:val="24"/>
          <w:lang w:val="lv-LV"/>
        </w:rPr>
        <w:t>V</w:t>
      </w:r>
      <w:r w:rsidRPr="000B1942">
        <w:rPr>
          <w:rFonts w:cs="Times New Roman"/>
          <w:color w:val="000000" w:themeColor="text1"/>
          <w:szCs w:val="24"/>
          <w:lang w:val="lv-LV"/>
        </w:rPr>
        <w:t>alsts nodevas atvieglojums par mantojuma saraksta sastādīšanu 100% apmērā</w:t>
      </w:r>
      <w:r>
        <w:rPr>
          <w:rFonts w:cs="Times New Roman"/>
          <w:color w:val="000000" w:themeColor="text1"/>
          <w:szCs w:val="24"/>
          <w:lang w:val="lv-LV"/>
        </w:rPr>
        <w:t xml:space="preserve"> tiek piemērots</w:t>
      </w:r>
      <w:r w:rsidRPr="000B1942">
        <w:rPr>
          <w:rFonts w:cs="Times New Roman"/>
          <w:color w:val="000000" w:themeColor="text1"/>
          <w:szCs w:val="24"/>
          <w:lang w:val="lv-LV"/>
        </w:rPr>
        <w:t>:</w:t>
      </w:r>
    </w:p>
    <w:p w14:paraId="16C0C824" w14:textId="77777777" w:rsidR="00546667" w:rsidRPr="000908B7" w:rsidRDefault="00546667" w:rsidP="00546667">
      <w:pPr>
        <w:pStyle w:val="Sarakstarindkopa"/>
        <w:numPr>
          <w:ilvl w:val="1"/>
          <w:numId w:val="1"/>
        </w:numPr>
        <w:spacing w:after="0" w:line="276" w:lineRule="auto"/>
        <w:ind w:right="-483"/>
        <w:jc w:val="both"/>
        <w:rPr>
          <w:rFonts w:cs="Times New Roman"/>
          <w:color w:val="000000" w:themeColor="text1"/>
          <w:szCs w:val="24"/>
          <w:lang w:val="lv-LV"/>
        </w:rPr>
      </w:pPr>
      <w:r>
        <w:rPr>
          <w:rFonts w:cs="Times New Roman"/>
          <w:color w:val="000000" w:themeColor="text1"/>
          <w:szCs w:val="24"/>
          <w:lang w:val="lv-LV"/>
        </w:rPr>
        <w:t xml:space="preserve"> </w:t>
      </w:r>
      <w:r w:rsidRPr="000908B7">
        <w:rPr>
          <w:rFonts w:cs="Times New Roman"/>
          <w:color w:val="000000" w:themeColor="text1"/>
          <w:szCs w:val="24"/>
          <w:lang w:val="lv-LV"/>
        </w:rPr>
        <w:t xml:space="preserve">nepilngadīgajiem (ja mantojums tiek pieņemts nepilngadīgā vārdā); </w:t>
      </w:r>
    </w:p>
    <w:p w14:paraId="7CCABBFB" w14:textId="77777777" w:rsidR="00546667" w:rsidRPr="000908B7" w:rsidRDefault="00546667" w:rsidP="00546667">
      <w:pPr>
        <w:pStyle w:val="Sarakstarindkopa"/>
        <w:numPr>
          <w:ilvl w:val="1"/>
          <w:numId w:val="1"/>
        </w:numPr>
        <w:spacing w:after="0" w:line="276" w:lineRule="auto"/>
        <w:ind w:right="-483"/>
        <w:jc w:val="both"/>
        <w:rPr>
          <w:rFonts w:cs="Times New Roman"/>
          <w:color w:val="000000" w:themeColor="text1"/>
          <w:szCs w:val="24"/>
          <w:lang w:val="lv-LV"/>
        </w:rPr>
      </w:pPr>
      <w:r>
        <w:rPr>
          <w:color w:val="000000" w:themeColor="text1"/>
          <w:lang w:val="lv-LV"/>
        </w:rPr>
        <w:t xml:space="preserve"> </w:t>
      </w:r>
      <w:r w:rsidRPr="000908B7">
        <w:rPr>
          <w:color w:val="000000" w:themeColor="text1"/>
          <w:lang w:val="lv-LV"/>
        </w:rPr>
        <w:t>personām ar trūcīgas mājsaimniecības statusu;</w:t>
      </w:r>
    </w:p>
    <w:p w14:paraId="089A8126" w14:textId="77777777" w:rsidR="00546667" w:rsidRPr="000908B7" w:rsidRDefault="00546667" w:rsidP="00546667">
      <w:pPr>
        <w:pStyle w:val="Sarakstarindkopa"/>
        <w:numPr>
          <w:ilvl w:val="1"/>
          <w:numId w:val="1"/>
        </w:numPr>
        <w:spacing w:after="0" w:line="276" w:lineRule="auto"/>
        <w:ind w:right="-483"/>
        <w:jc w:val="both"/>
        <w:rPr>
          <w:rFonts w:cs="Times New Roman"/>
          <w:color w:val="000000" w:themeColor="text1"/>
          <w:szCs w:val="24"/>
          <w:lang w:val="lv-LV"/>
        </w:rPr>
      </w:pPr>
      <w:r>
        <w:rPr>
          <w:color w:val="000000" w:themeColor="text1"/>
          <w:lang w:val="lv-LV"/>
        </w:rPr>
        <w:t xml:space="preserve"> </w:t>
      </w:r>
      <w:r w:rsidRPr="000908B7">
        <w:rPr>
          <w:color w:val="000000" w:themeColor="text1"/>
          <w:lang w:val="lv-LV"/>
        </w:rPr>
        <w:t>personām ar maznodrošinātas mājsaimniecības statusu;</w:t>
      </w:r>
    </w:p>
    <w:p w14:paraId="2A59571D" w14:textId="77777777" w:rsidR="00546667" w:rsidRPr="000908B7" w:rsidRDefault="00546667" w:rsidP="00546667">
      <w:pPr>
        <w:pStyle w:val="Sarakstarindkopa"/>
        <w:numPr>
          <w:ilvl w:val="1"/>
          <w:numId w:val="1"/>
        </w:numPr>
        <w:spacing w:after="0" w:line="276" w:lineRule="auto"/>
        <w:ind w:right="-483"/>
        <w:jc w:val="both"/>
        <w:rPr>
          <w:rFonts w:cs="Times New Roman"/>
          <w:color w:val="000000" w:themeColor="text1"/>
          <w:szCs w:val="24"/>
          <w:lang w:val="lv-LV"/>
        </w:rPr>
      </w:pPr>
      <w:r>
        <w:rPr>
          <w:color w:val="000000" w:themeColor="text1"/>
          <w:lang w:val="lv-LV"/>
        </w:rPr>
        <w:t xml:space="preserve"> </w:t>
      </w:r>
      <w:r w:rsidRPr="000908B7">
        <w:rPr>
          <w:color w:val="000000" w:themeColor="text1"/>
          <w:lang w:val="lv-LV"/>
        </w:rPr>
        <w:t>personām ar invaliditāti (neatkarīgi no invaliditātes grupas);</w:t>
      </w:r>
    </w:p>
    <w:p w14:paraId="406FB1E0" w14:textId="77777777" w:rsidR="00546667" w:rsidRPr="000908B7" w:rsidRDefault="00546667" w:rsidP="00546667">
      <w:pPr>
        <w:pStyle w:val="Sarakstarindkopa"/>
        <w:spacing w:after="0" w:line="276" w:lineRule="auto"/>
        <w:ind w:left="1080" w:right="-483"/>
        <w:jc w:val="both"/>
        <w:rPr>
          <w:rFonts w:cs="Times New Roman"/>
          <w:color w:val="000000" w:themeColor="text1"/>
          <w:szCs w:val="24"/>
          <w:lang w:val="lv-LV"/>
        </w:rPr>
      </w:pPr>
    </w:p>
    <w:p w14:paraId="1807BD03" w14:textId="77777777" w:rsidR="00546667" w:rsidRDefault="00546667" w:rsidP="00546667">
      <w:pPr>
        <w:pStyle w:val="Sarakstarindkopa"/>
        <w:numPr>
          <w:ilvl w:val="0"/>
          <w:numId w:val="1"/>
        </w:numPr>
        <w:spacing w:after="0" w:line="240" w:lineRule="auto"/>
        <w:ind w:right="-483"/>
        <w:jc w:val="both"/>
        <w:rPr>
          <w:rFonts w:cs="Times New Roman"/>
          <w:color w:val="000000" w:themeColor="text1"/>
          <w:szCs w:val="24"/>
          <w:lang w:val="lv-LV"/>
        </w:rPr>
      </w:pPr>
      <w:r w:rsidRPr="000B1942">
        <w:rPr>
          <w:rFonts w:cs="Times New Roman"/>
          <w:color w:val="000000" w:themeColor="text1"/>
          <w:szCs w:val="24"/>
          <w:lang w:val="lv-LV"/>
        </w:rPr>
        <w:t>Valsts nodevas atvieglojumu piemēro Alūksnes novada bāriņtiesa.</w:t>
      </w:r>
    </w:p>
    <w:p w14:paraId="7BEADF5F" w14:textId="77777777" w:rsidR="00546667" w:rsidRDefault="00546667" w:rsidP="00546667">
      <w:pPr>
        <w:pStyle w:val="Sarakstarindkopa"/>
        <w:spacing w:after="0" w:line="240" w:lineRule="auto"/>
        <w:ind w:right="-483"/>
        <w:jc w:val="both"/>
        <w:rPr>
          <w:rFonts w:cs="Times New Roman"/>
          <w:color w:val="000000" w:themeColor="text1"/>
          <w:szCs w:val="24"/>
          <w:lang w:val="lv-LV"/>
        </w:rPr>
      </w:pPr>
    </w:p>
    <w:p w14:paraId="7C88440E" w14:textId="77777777" w:rsidR="00546667" w:rsidRPr="00350C01" w:rsidRDefault="00546667" w:rsidP="00546667">
      <w:pPr>
        <w:pStyle w:val="Sarakstarindkopa"/>
        <w:numPr>
          <w:ilvl w:val="0"/>
          <w:numId w:val="1"/>
        </w:numPr>
        <w:spacing w:after="0" w:line="240" w:lineRule="auto"/>
        <w:ind w:right="-483"/>
        <w:jc w:val="both"/>
        <w:rPr>
          <w:rFonts w:cs="Times New Roman"/>
          <w:szCs w:val="24"/>
          <w:lang w:val="lv-LV"/>
        </w:rPr>
      </w:pPr>
      <w:r w:rsidRPr="00F07F9B">
        <w:rPr>
          <w:rFonts w:cs="Times New Roman"/>
          <w:szCs w:val="24"/>
          <w:lang w:val="lv-LV"/>
        </w:rPr>
        <w:t xml:space="preserve">Lai saņemtu saistošo noteikumu 2.punktā noteikto valsts nodevas atvieglojumu, personai </w:t>
      </w:r>
      <w:r>
        <w:rPr>
          <w:rFonts w:cs="Times New Roman"/>
          <w:szCs w:val="24"/>
          <w:lang w:val="lv-LV"/>
        </w:rPr>
        <w:t>jāatbilst 2.2. vai 2.3. apakšpunktā minētajam statusam, vai jāuzrāda invaliditāti apliecinošs dokuments.</w:t>
      </w:r>
    </w:p>
    <w:p w14:paraId="12A7D9BB" w14:textId="77777777" w:rsidR="00546667" w:rsidRPr="000C452C" w:rsidRDefault="00546667" w:rsidP="00546667">
      <w:pPr>
        <w:spacing w:after="0" w:line="240" w:lineRule="auto"/>
        <w:ind w:right="-483"/>
        <w:jc w:val="both"/>
        <w:rPr>
          <w:rFonts w:cs="Times New Roman"/>
          <w:color w:val="000000" w:themeColor="text1"/>
          <w:szCs w:val="24"/>
          <w:lang w:val="lv-LV"/>
        </w:rPr>
      </w:pPr>
    </w:p>
    <w:p w14:paraId="4C588C29" w14:textId="77777777" w:rsidR="00546667" w:rsidRPr="000B1942" w:rsidRDefault="00546667" w:rsidP="00546667">
      <w:pPr>
        <w:pStyle w:val="Sarakstarindkopa"/>
        <w:numPr>
          <w:ilvl w:val="0"/>
          <w:numId w:val="1"/>
        </w:numPr>
        <w:spacing w:after="0" w:line="240" w:lineRule="auto"/>
        <w:ind w:right="-483"/>
        <w:jc w:val="both"/>
        <w:rPr>
          <w:rFonts w:cs="Times New Roman"/>
          <w:color w:val="000000" w:themeColor="text1"/>
          <w:szCs w:val="24"/>
          <w:lang w:val="lv-LV"/>
        </w:rPr>
      </w:pPr>
      <w:r w:rsidRPr="000B1942">
        <w:rPr>
          <w:rFonts w:cs="Times New Roman"/>
          <w:color w:val="000000" w:themeColor="text1"/>
          <w:szCs w:val="24"/>
          <w:lang w:val="lv-LV"/>
        </w:rPr>
        <w:t>Atteikumu piemērot valsts nodevas atvieglojumus var apstrīdēt iesniedzot iesniegumu Alūksnes novada bāriņtiesā, kur</w:t>
      </w:r>
      <w:r>
        <w:rPr>
          <w:rFonts w:cs="Times New Roman"/>
          <w:color w:val="000000" w:themeColor="text1"/>
          <w:szCs w:val="24"/>
          <w:lang w:val="lv-LV"/>
        </w:rPr>
        <w:t>u</w:t>
      </w:r>
      <w:r w:rsidRPr="000B1942">
        <w:rPr>
          <w:rFonts w:cs="Times New Roman"/>
          <w:color w:val="000000" w:themeColor="text1"/>
          <w:szCs w:val="24"/>
          <w:lang w:val="lv-LV"/>
        </w:rPr>
        <w:t xml:space="preserve"> nosūta izskatīšanai Alūksnes novada pašvaldības izpilddirektoram. Izpilddirektora </w:t>
      </w:r>
      <w:r>
        <w:rPr>
          <w:rFonts w:cs="Times New Roman"/>
          <w:color w:val="000000" w:themeColor="text1"/>
          <w:szCs w:val="24"/>
          <w:lang w:val="lv-LV"/>
        </w:rPr>
        <w:t xml:space="preserve">lēmumu par </w:t>
      </w:r>
      <w:r w:rsidRPr="000B1942">
        <w:rPr>
          <w:rFonts w:cs="Times New Roman"/>
          <w:color w:val="000000" w:themeColor="text1"/>
          <w:szCs w:val="24"/>
          <w:lang w:val="lv-LV"/>
        </w:rPr>
        <w:t>atteikumu piemērot valsts nodevas atvieglojumus var pārsūdzēt Administratīvajā rajona tiesā Administratīvā procesa likuma noteiktajā kārtībā.</w:t>
      </w:r>
    </w:p>
    <w:p w14:paraId="7C05E7B1" w14:textId="77777777" w:rsidR="00546667" w:rsidRPr="000B1942" w:rsidRDefault="00546667" w:rsidP="00546667">
      <w:pPr>
        <w:pStyle w:val="Sarakstarindkopa"/>
        <w:spacing w:after="0" w:line="240" w:lineRule="auto"/>
        <w:ind w:right="-483"/>
        <w:jc w:val="both"/>
        <w:rPr>
          <w:rFonts w:cs="Times New Roman"/>
          <w:color w:val="000000" w:themeColor="text1"/>
          <w:szCs w:val="24"/>
          <w:lang w:val="lv-LV"/>
        </w:rPr>
      </w:pPr>
    </w:p>
    <w:p w14:paraId="09967999" w14:textId="77777777" w:rsidR="00546667" w:rsidRPr="004507C8" w:rsidRDefault="00546667" w:rsidP="00546667">
      <w:pPr>
        <w:pStyle w:val="Sarakstarindkopa"/>
        <w:numPr>
          <w:ilvl w:val="0"/>
          <w:numId w:val="1"/>
        </w:numPr>
        <w:spacing w:after="0" w:line="240" w:lineRule="auto"/>
        <w:ind w:right="-483"/>
        <w:jc w:val="both"/>
        <w:rPr>
          <w:rFonts w:cs="Times New Roman"/>
          <w:color w:val="000000" w:themeColor="text1"/>
          <w:szCs w:val="24"/>
          <w:lang w:val="lv-LV"/>
        </w:rPr>
      </w:pPr>
      <w:r w:rsidRPr="004507C8">
        <w:rPr>
          <w:rFonts w:cs="Times New Roman"/>
          <w:color w:val="000000" w:themeColor="text1"/>
          <w:szCs w:val="24"/>
          <w:lang w:val="lv-LV"/>
        </w:rPr>
        <w:t>Atzīt par spēku zaudējušiem Alūksnes novada pašvaldības domes 2010. gada 29. jūlija saistošos noteikumus Nr. 27/2010 “Par valsts nodevu atvieglojumiem bāriņtiesas pakalpojumiem Alūksnes novadā”.</w:t>
      </w:r>
    </w:p>
    <w:p w14:paraId="6CC3A5A4" w14:textId="77777777" w:rsidR="00546667" w:rsidRPr="000B1942" w:rsidRDefault="00546667" w:rsidP="00546667">
      <w:pPr>
        <w:spacing w:after="0" w:line="240" w:lineRule="auto"/>
        <w:ind w:right="-483"/>
        <w:jc w:val="both"/>
        <w:rPr>
          <w:color w:val="000000" w:themeColor="text1"/>
          <w:lang w:val="lv-LV"/>
        </w:rPr>
      </w:pPr>
    </w:p>
    <w:p w14:paraId="28B67439" w14:textId="77777777" w:rsidR="00546667" w:rsidRDefault="00546667" w:rsidP="00546667">
      <w:pPr>
        <w:spacing w:after="0" w:line="240" w:lineRule="auto"/>
        <w:ind w:right="-483"/>
        <w:jc w:val="both"/>
        <w:rPr>
          <w:color w:val="000000" w:themeColor="text1"/>
          <w:lang w:val="lv-LV"/>
        </w:rPr>
      </w:pPr>
    </w:p>
    <w:p w14:paraId="7A957B0E" w14:textId="77777777" w:rsidR="00546667" w:rsidRPr="000B1942" w:rsidRDefault="00546667" w:rsidP="00546667">
      <w:pPr>
        <w:spacing w:after="0" w:line="240" w:lineRule="auto"/>
        <w:ind w:right="-483"/>
        <w:jc w:val="both"/>
        <w:rPr>
          <w:color w:val="000000" w:themeColor="text1"/>
          <w:lang w:val="lv-LV"/>
        </w:rPr>
      </w:pPr>
      <w:r w:rsidRPr="000B1942">
        <w:rPr>
          <w:color w:val="000000" w:themeColor="text1"/>
          <w:lang w:val="lv-LV"/>
        </w:rPr>
        <w:t>Domes priekšsēdētājs</w:t>
      </w:r>
      <w:r w:rsidRPr="000B1942">
        <w:rPr>
          <w:color w:val="000000" w:themeColor="text1"/>
          <w:lang w:val="lv-LV"/>
        </w:rPr>
        <w:tab/>
      </w:r>
      <w:r w:rsidRPr="000B1942">
        <w:rPr>
          <w:color w:val="000000" w:themeColor="text1"/>
          <w:lang w:val="lv-LV"/>
        </w:rPr>
        <w:tab/>
      </w:r>
      <w:r w:rsidRPr="000B1942">
        <w:rPr>
          <w:color w:val="000000" w:themeColor="text1"/>
          <w:lang w:val="lv-LV"/>
        </w:rPr>
        <w:tab/>
      </w:r>
      <w:r w:rsidRPr="000B1942">
        <w:rPr>
          <w:color w:val="000000" w:themeColor="text1"/>
          <w:lang w:val="lv-LV"/>
        </w:rPr>
        <w:tab/>
      </w:r>
      <w:r w:rsidRPr="000B1942">
        <w:rPr>
          <w:color w:val="000000" w:themeColor="text1"/>
          <w:lang w:val="lv-LV"/>
        </w:rPr>
        <w:tab/>
      </w:r>
      <w:r w:rsidRPr="000B1942">
        <w:rPr>
          <w:color w:val="000000" w:themeColor="text1"/>
          <w:lang w:val="lv-LV"/>
        </w:rPr>
        <w:tab/>
      </w:r>
      <w:r w:rsidRPr="000B1942">
        <w:rPr>
          <w:color w:val="000000" w:themeColor="text1"/>
          <w:lang w:val="lv-LV"/>
        </w:rPr>
        <w:tab/>
      </w:r>
      <w:r w:rsidRPr="000B1942">
        <w:rPr>
          <w:color w:val="000000" w:themeColor="text1"/>
          <w:lang w:val="lv-LV"/>
        </w:rPr>
        <w:tab/>
      </w:r>
      <w:proofErr w:type="spellStart"/>
      <w:r w:rsidRPr="000B1942">
        <w:rPr>
          <w:color w:val="000000" w:themeColor="text1"/>
          <w:lang w:val="lv-LV"/>
        </w:rPr>
        <w:t>Dz.ADLERS</w:t>
      </w:r>
      <w:proofErr w:type="spellEnd"/>
    </w:p>
    <w:p w14:paraId="539ECBCF" w14:textId="77777777" w:rsidR="00546667" w:rsidRDefault="00546667" w:rsidP="00546667">
      <w:pPr>
        <w:spacing w:after="200" w:line="276" w:lineRule="auto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br w:type="page"/>
      </w:r>
    </w:p>
    <w:p w14:paraId="0DFDAAA1" w14:textId="77777777" w:rsidR="00546667" w:rsidRDefault="00546667" w:rsidP="00546667">
      <w:pPr>
        <w:spacing w:after="0" w:line="240" w:lineRule="auto"/>
        <w:ind w:right="-483"/>
        <w:rPr>
          <w:rFonts w:eastAsia="Calibri" w:cs="Times New Roman"/>
          <w:b/>
          <w:bCs/>
          <w:color w:val="000000" w:themeColor="text1"/>
          <w:kern w:val="2"/>
          <w:szCs w:val="24"/>
          <w:lang w:val="lv-LV" w:eastAsia="lv-LV"/>
        </w:rPr>
      </w:pPr>
    </w:p>
    <w:p w14:paraId="5787A194" w14:textId="3072E1FB" w:rsidR="00546667" w:rsidRPr="000B1942" w:rsidRDefault="00546667" w:rsidP="00546667">
      <w:pPr>
        <w:spacing w:after="0" w:line="240" w:lineRule="auto"/>
        <w:ind w:right="-483"/>
        <w:jc w:val="center"/>
        <w:rPr>
          <w:rFonts w:eastAsia="Times New Roman" w:cs="Times New Roman"/>
          <w:b/>
          <w:color w:val="000000" w:themeColor="text1"/>
          <w:szCs w:val="24"/>
          <w:lang w:val="lv-LV" w:eastAsia="lv-LV"/>
        </w:rPr>
      </w:pPr>
      <w:r w:rsidRPr="000B1942">
        <w:rPr>
          <w:rFonts w:eastAsia="Calibri" w:cs="Times New Roman"/>
          <w:b/>
          <w:bCs/>
          <w:color w:val="000000" w:themeColor="text1"/>
          <w:kern w:val="2"/>
          <w:szCs w:val="24"/>
          <w:lang w:val="lv-LV" w:eastAsia="lv-LV"/>
        </w:rPr>
        <w:t>Saistošo noteikumu Nr.</w:t>
      </w:r>
      <w:r>
        <w:rPr>
          <w:rFonts w:eastAsia="Calibri" w:cs="Times New Roman"/>
          <w:b/>
          <w:bCs/>
          <w:color w:val="000000" w:themeColor="text1"/>
          <w:kern w:val="2"/>
          <w:szCs w:val="24"/>
          <w:lang w:val="lv-LV" w:eastAsia="lv-LV"/>
        </w:rPr>
        <w:t>21/2024</w:t>
      </w:r>
      <w:r w:rsidRPr="000B1942">
        <w:rPr>
          <w:rFonts w:eastAsia="Calibri" w:cs="Times New Roman"/>
          <w:b/>
          <w:bCs/>
          <w:color w:val="000000" w:themeColor="text1"/>
          <w:kern w:val="2"/>
          <w:szCs w:val="24"/>
          <w:lang w:val="lv-LV"/>
        </w:rPr>
        <w:t xml:space="preserve"> “</w:t>
      </w:r>
      <w:r w:rsidRPr="000B1942">
        <w:rPr>
          <w:rFonts w:eastAsia="Times New Roman" w:cs="Times New Roman"/>
          <w:b/>
          <w:color w:val="000000" w:themeColor="text1"/>
          <w:szCs w:val="24"/>
          <w:lang w:val="lv-LV" w:eastAsia="lv-LV"/>
        </w:rPr>
        <w:t>Par valsts nodevu atvieglojumiem</w:t>
      </w:r>
    </w:p>
    <w:p w14:paraId="094E825C" w14:textId="77777777" w:rsidR="00546667" w:rsidRPr="000B1942" w:rsidRDefault="00546667" w:rsidP="00546667">
      <w:pPr>
        <w:spacing w:after="0" w:line="240" w:lineRule="auto"/>
        <w:ind w:right="-483"/>
        <w:jc w:val="center"/>
        <w:rPr>
          <w:rFonts w:eastAsia="Times New Roman" w:cs="Times New Roman"/>
          <w:b/>
          <w:color w:val="000000" w:themeColor="text1"/>
          <w:szCs w:val="24"/>
          <w:lang w:val="lv-LV" w:eastAsia="lv-LV"/>
        </w:rPr>
      </w:pPr>
      <w:r w:rsidRPr="000B1942">
        <w:rPr>
          <w:rFonts w:eastAsia="Times New Roman" w:cs="Times New Roman"/>
          <w:b/>
          <w:color w:val="000000" w:themeColor="text1"/>
          <w:szCs w:val="24"/>
          <w:lang w:val="lv-LV" w:eastAsia="lv-LV"/>
        </w:rPr>
        <w:t>bāriņtiesas pakalpojumiem Alūksnes novadā</w:t>
      </w:r>
      <w:r w:rsidRPr="000B1942">
        <w:rPr>
          <w:rFonts w:eastAsia="Calibri" w:cs="Times New Roman"/>
          <w:b/>
          <w:bCs/>
          <w:color w:val="000000" w:themeColor="text1"/>
          <w:kern w:val="2"/>
          <w:szCs w:val="24"/>
          <w:lang w:val="lv-LV" w:eastAsia="lv-LV"/>
        </w:rPr>
        <w:t>”</w:t>
      </w:r>
      <w:r w:rsidRPr="000B1942">
        <w:rPr>
          <w:rFonts w:eastAsia="Calibri" w:cs="Times New Roman"/>
          <w:b/>
          <w:bCs/>
          <w:color w:val="000000" w:themeColor="text1"/>
          <w:kern w:val="2"/>
          <w:szCs w:val="24"/>
          <w:lang w:val="lv-LV" w:eastAsia="lv-LV"/>
        </w:rPr>
        <w:br/>
        <w:t>PASKAIDROJUMA RAKSTS</w:t>
      </w:r>
    </w:p>
    <w:p w14:paraId="23EBC3DD" w14:textId="77777777" w:rsidR="00546667" w:rsidRPr="000B1942" w:rsidRDefault="00546667" w:rsidP="00546667">
      <w:pPr>
        <w:spacing w:after="0" w:line="240" w:lineRule="auto"/>
        <w:ind w:right="-483"/>
        <w:jc w:val="center"/>
        <w:rPr>
          <w:rFonts w:eastAsia="Times New Roman" w:cs="Times New Roman"/>
          <w:b/>
          <w:color w:val="000000" w:themeColor="text1"/>
          <w:szCs w:val="24"/>
          <w:lang w:val="lv-LV" w:eastAsia="lv-LV"/>
        </w:rPr>
      </w:pPr>
    </w:p>
    <w:tbl>
      <w:tblPr>
        <w:tblW w:w="5481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0"/>
        <w:gridCol w:w="7588"/>
      </w:tblGrid>
      <w:tr w:rsidR="00546667" w:rsidRPr="000B1942" w14:paraId="72CFB12B" w14:textId="77777777" w:rsidTr="0071629D">
        <w:trPr>
          <w:trHeight w:val="609"/>
        </w:trPr>
        <w:tc>
          <w:tcPr>
            <w:tcW w:w="14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6C5B0DB" w14:textId="77777777" w:rsidR="00546667" w:rsidRPr="000B1942" w:rsidRDefault="00546667" w:rsidP="0071629D">
            <w:pPr>
              <w:spacing w:before="100" w:beforeAutospacing="1" w:after="0" w:line="293" w:lineRule="atLeast"/>
              <w:jc w:val="center"/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</w:pPr>
            <w:r w:rsidRPr="000B1942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Paskaidrojuma raksta sadaļa</w:t>
            </w:r>
          </w:p>
        </w:tc>
        <w:tc>
          <w:tcPr>
            <w:tcW w:w="3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91E848C" w14:textId="77777777" w:rsidR="00546667" w:rsidRPr="000B1942" w:rsidRDefault="00546667" w:rsidP="0071629D">
            <w:pPr>
              <w:spacing w:before="100" w:beforeAutospacing="1" w:after="0" w:line="293" w:lineRule="atLeast"/>
              <w:jc w:val="center"/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</w:pPr>
            <w:r w:rsidRPr="000B1942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Norādāmā informācija</w:t>
            </w:r>
          </w:p>
        </w:tc>
      </w:tr>
      <w:tr w:rsidR="00546667" w:rsidRPr="00CF5654" w14:paraId="0C4F03F9" w14:textId="77777777" w:rsidTr="0071629D">
        <w:trPr>
          <w:trHeight w:val="3572"/>
        </w:trPr>
        <w:tc>
          <w:tcPr>
            <w:tcW w:w="14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4CCB54F" w14:textId="77777777" w:rsidR="00546667" w:rsidRPr="000B1942" w:rsidRDefault="00546667" w:rsidP="0071629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</w:pPr>
            <w:r w:rsidRPr="000B1942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1. Mērķis un nepieciešamības pamatojums</w:t>
            </w:r>
          </w:p>
        </w:tc>
        <w:tc>
          <w:tcPr>
            <w:tcW w:w="3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5466BF" w14:textId="77777777" w:rsidR="00546667" w:rsidRPr="000B1942" w:rsidRDefault="00546667" w:rsidP="0071629D">
            <w:pPr>
              <w:spacing w:before="195"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</w:pPr>
            <w:hyperlink r:id="rId5" w:tgtFrame="_blank" w:history="1">
              <w:r w:rsidRPr="000908B7">
                <w:rPr>
                  <w:rFonts w:eastAsia="Times New Roman" w:cs="Times New Roman"/>
                  <w:color w:val="000000" w:themeColor="text1"/>
                  <w:szCs w:val="24"/>
                  <w:lang w:val="lv-LV" w:eastAsia="lv-LV"/>
                </w:rPr>
                <w:t>Bāriņtiesu likuma</w:t>
              </w:r>
            </w:hyperlink>
            <w:r w:rsidRPr="000908B7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 xml:space="preserve"> </w:t>
            </w:r>
            <w:hyperlink r:id="rId6" w:anchor="p79" w:tgtFrame="_blank" w:history="1">
              <w:r w:rsidRPr="000908B7">
                <w:rPr>
                  <w:rFonts w:eastAsia="Times New Roman" w:cs="Times New Roman"/>
                  <w:color w:val="000000" w:themeColor="text1"/>
                  <w:szCs w:val="24"/>
                  <w:lang w:val="lv-LV" w:eastAsia="lv-LV"/>
                </w:rPr>
                <w:t>79. panta</w:t>
              </w:r>
            </w:hyperlink>
            <w:r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 xml:space="preserve"> </w:t>
            </w:r>
            <w:r w:rsidRPr="000B1942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pirmajā daļā noteiktas valsts nodevas par bāriņtiesas pakalpojumiem, ko ieskaita pašvaldības budžetā. Saskaņā ar minētā panta pirmās daļas 15.</w:t>
            </w:r>
            <w:r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 </w:t>
            </w:r>
            <w:r w:rsidRPr="000B1942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punktu bāriņtiesa iekasē valsts nodevu par mantojuma saraksta sastādīšanu. Minētā likuma</w:t>
            </w:r>
            <w:r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 xml:space="preserve"> </w:t>
            </w:r>
            <w:hyperlink r:id="rId7" w:anchor="p79" w:tgtFrame="_blank" w:history="1">
              <w:r w:rsidRPr="000908B7">
                <w:rPr>
                  <w:rFonts w:eastAsia="Times New Roman" w:cs="Times New Roman"/>
                  <w:color w:val="000000" w:themeColor="text1"/>
                  <w:szCs w:val="24"/>
                  <w:lang w:val="lv-LV" w:eastAsia="lv-LV"/>
                </w:rPr>
                <w:t>79.</w:t>
              </w:r>
              <w:r>
                <w:rPr>
                  <w:rFonts w:eastAsia="Times New Roman" w:cs="Times New Roman"/>
                  <w:color w:val="000000" w:themeColor="text1"/>
                  <w:szCs w:val="24"/>
                  <w:lang w:val="lv-LV" w:eastAsia="lv-LV"/>
                </w:rPr>
                <w:t> </w:t>
              </w:r>
              <w:r w:rsidRPr="000908B7">
                <w:rPr>
                  <w:rFonts w:eastAsia="Times New Roman" w:cs="Times New Roman"/>
                  <w:color w:val="000000" w:themeColor="text1"/>
                  <w:szCs w:val="24"/>
                  <w:lang w:val="lv-LV" w:eastAsia="lv-LV"/>
                </w:rPr>
                <w:t>panta</w:t>
              </w:r>
            </w:hyperlink>
            <w:r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 xml:space="preserve"> </w:t>
            </w:r>
            <w:r w:rsidRPr="000908B7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otr</w:t>
            </w:r>
            <w:r w:rsidRPr="000B1942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 xml:space="preserve">ajā un trešajā daļā noteikts, ka pašvaldības domei ir tiesības piemērot valsts nodevu atvieglojumus. </w:t>
            </w:r>
          </w:p>
          <w:p w14:paraId="2CF69F6E" w14:textId="77777777" w:rsidR="00546667" w:rsidRPr="000B1942" w:rsidRDefault="00546667" w:rsidP="0071629D">
            <w:pPr>
              <w:spacing w:before="100" w:beforeAutospacing="1" w:after="0" w:line="293" w:lineRule="atLeast"/>
              <w:jc w:val="both"/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</w:pPr>
            <w:r w:rsidRPr="000B1942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Saistošo noteikumu izdošanas mērķis ir noteikt valsts nodeva</w:t>
            </w:r>
            <w:r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s</w:t>
            </w:r>
            <w:r w:rsidRPr="000B1942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 xml:space="preserve"> atvieglojumu par bāriņtiesas sniegto pakalpojumu Alūksnes novadā, un tieši, par mantojuma saraksta sastādīšanu personu grupām – nepilngadīgajiem (ja mantojums tiek pieņemts nepilngadīgā vārdā, personām ar trūcīgas vai maznodrošinātas mājsaimniecības statusu, personām ar invaliditāti, </w:t>
            </w:r>
            <w:r w:rsidRPr="000B1942">
              <w:rPr>
                <w:color w:val="000000" w:themeColor="text1"/>
                <w:lang w:val="lv-LV"/>
              </w:rPr>
              <w:t>(neatkarīgi no invaliditātes grupas)</w:t>
            </w:r>
            <w:r w:rsidRPr="000B1942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.</w:t>
            </w:r>
          </w:p>
        </w:tc>
      </w:tr>
      <w:tr w:rsidR="00546667" w:rsidRPr="00CF5654" w14:paraId="5730C73C" w14:textId="77777777" w:rsidTr="0071629D">
        <w:trPr>
          <w:trHeight w:val="854"/>
        </w:trPr>
        <w:tc>
          <w:tcPr>
            <w:tcW w:w="14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E582619" w14:textId="77777777" w:rsidR="00546667" w:rsidRPr="000B1942" w:rsidRDefault="00546667" w:rsidP="0071629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</w:pPr>
            <w:r w:rsidRPr="000B1942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2. Fiskālā ietekme uz pašvaldības budžetu</w:t>
            </w:r>
          </w:p>
        </w:tc>
        <w:tc>
          <w:tcPr>
            <w:tcW w:w="3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6BA613A" w14:textId="77777777" w:rsidR="00546667" w:rsidRPr="000B1942" w:rsidRDefault="00546667" w:rsidP="0071629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</w:pPr>
            <w:r w:rsidRPr="000B1942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Saistošo noteikumu īstenošanas būtiska fiskālās ietekmes prognoze uz Alūksnes novada pašvaldības (turpmāk</w:t>
            </w:r>
            <w:r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 xml:space="preserve"> </w:t>
            </w:r>
            <w:r w:rsidRPr="000B1942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– Pašvaldība) budžetu nav paredzama.</w:t>
            </w:r>
          </w:p>
        </w:tc>
      </w:tr>
      <w:tr w:rsidR="00546667" w:rsidRPr="00CF5654" w14:paraId="36686BAC" w14:textId="77777777" w:rsidTr="0071629D">
        <w:trPr>
          <w:trHeight w:val="2111"/>
        </w:trPr>
        <w:tc>
          <w:tcPr>
            <w:tcW w:w="14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558287C" w14:textId="77777777" w:rsidR="00546667" w:rsidRPr="000B1942" w:rsidRDefault="00546667" w:rsidP="0071629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</w:pPr>
            <w:r w:rsidRPr="000B1942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3. Sociālā ietekme, ietekme uz vidi, iedzīvotāju veselību, uzņēmējdarbības vidi pašvaldības teritorijā, kā arī plānotā regulējuma ietekme uz konkurenci</w:t>
            </w:r>
          </w:p>
        </w:tc>
        <w:tc>
          <w:tcPr>
            <w:tcW w:w="3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215CECD" w14:textId="77777777" w:rsidR="00546667" w:rsidRPr="000B1942" w:rsidRDefault="00546667" w:rsidP="0071629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</w:pPr>
            <w:r w:rsidRPr="000B1942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Saistošo noteikumu ietekmju vērtējums:</w:t>
            </w:r>
          </w:p>
          <w:p w14:paraId="39AB5954" w14:textId="77777777" w:rsidR="00546667" w:rsidRPr="000B1942" w:rsidRDefault="00546667" w:rsidP="0071629D">
            <w:pPr>
              <w:spacing w:after="0" w:line="293" w:lineRule="atLeast"/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</w:pPr>
            <w:r w:rsidRPr="000B1942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3.1. sociālā ietekme – paredzama ietekme;</w:t>
            </w:r>
          </w:p>
          <w:p w14:paraId="7D8EB099" w14:textId="77777777" w:rsidR="00546667" w:rsidRPr="000B1942" w:rsidRDefault="00546667" w:rsidP="0071629D">
            <w:pPr>
              <w:spacing w:after="0" w:line="293" w:lineRule="atLeast"/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</w:pPr>
            <w:r w:rsidRPr="000B1942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3.2. ietekme uz vidi – nav ietekmes;</w:t>
            </w:r>
          </w:p>
          <w:p w14:paraId="6619C98D" w14:textId="77777777" w:rsidR="00546667" w:rsidRPr="000B1942" w:rsidRDefault="00546667" w:rsidP="0071629D">
            <w:pPr>
              <w:spacing w:after="0" w:line="293" w:lineRule="atLeast"/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</w:pPr>
            <w:r w:rsidRPr="000B1942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3.3. ietekme uz iedzīvotāju veselību – nav ietekmes;</w:t>
            </w:r>
          </w:p>
          <w:p w14:paraId="06561CB0" w14:textId="77777777" w:rsidR="00546667" w:rsidRPr="000B1942" w:rsidRDefault="00546667" w:rsidP="0071629D">
            <w:pPr>
              <w:spacing w:after="0" w:line="293" w:lineRule="atLeast"/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</w:pPr>
            <w:r w:rsidRPr="000B1942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3.4. ietekme uz uzņēmējdarbības vidi pašvaldības teritorijā – nav tiešas ietekmes;</w:t>
            </w:r>
          </w:p>
          <w:p w14:paraId="30974615" w14:textId="77777777" w:rsidR="00546667" w:rsidRPr="000B1942" w:rsidRDefault="00546667" w:rsidP="0071629D">
            <w:pPr>
              <w:spacing w:after="0" w:line="293" w:lineRule="atLeast"/>
              <w:jc w:val="both"/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</w:pPr>
            <w:r w:rsidRPr="000B1942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3.5. ietekme uz konkurenci – nav ietekmes.</w:t>
            </w:r>
          </w:p>
        </w:tc>
      </w:tr>
      <w:tr w:rsidR="00546667" w:rsidRPr="00CF5654" w14:paraId="1B8CC4D0" w14:textId="77777777" w:rsidTr="0071629D">
        <w:trPr>
          <w:trHeight w:val="1147"/>
        </w:trPr>
        <w:tc>
          <w:tcPr>
            <w:tcW w:w="14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EF7695E" w14:textId="77777777" w:rsidR="00546667" w:rsidRPr="000B1942" w:rsidRDefault="00546667" w:rsidP="0071629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</w:pPr>
            <w:r w:rsidRPr="000B1942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4. Ietekme uz administratīvajām procedūrām un to izmaksām</w:t>
            </w:r>
          </w:p>
        </w:tc>
        <w:tc>
          <w:tcPr>
            <w:tcW w:w="3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4922AB7" w14:textId="77777777" w:rsidR="00546667" w:rsidRPr="000B1942" w:rsidRDefault="00546667" w:rsidP="0071629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</w:pPr>
            <w:r w:rsidRPr="000B1942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4.1. Saistošo noteikumu piemērošanā personas var vērsties Alūksnes novada  bāriņtiesā.</w:t>
            </w:r>
          </w:p>
          <w:p w14:paraId="067D9A15" w14:textId="77777777" w:rsidR="00546667" w:rsidRPr="000B1942" w:rsidRDefault="00546667" w:rsidP="0071629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</w:pPr>
            <w:r w:rsidRPr="000B1942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4.2. Ar šiem saistošajiem noteikumiem netiek paredzētas papildus administratīvo procedūru izmaksas.</w:t>
            </w:r>
          </w:p>
        </w:tc>
      </w:tr>
      <w:tr w:rsidR="00546667" w:rsidRPr="00CF5654" w14:paraId="101768C0" w14:textId="77777777" w:rsidTr="0071629D">
        <w:trPr>
          <w:trHeight w:val="640"/>
        </w:trPr>
        <w:tc>
          <w:tcPr>
            <w:tcW w:w="14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2672759" w14:textId="77777777" w:rsidR="00546667" w:rsidRPr="000B1942" w:rsidRDefault="00546667" w:rsidP="0071629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</w:pPr>
            <w:r w:rsidRPr="000B1942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5. Ietekme uz pašvaldības funkcijām un cilvēkresursiem</w:t>
            </w:r>
          </w:p>
        </w:tc>
        <w:tc>
          <w:tcPr>
            <w:tcW w:w="3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A5D3542" w14:textId="77777777" w:rsidR="00546667" w:rsidRPr="000B1942" w:rsidRDefault="00546667" w:rsidP="0071629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</w:pPr>
            <w:r w:rsidRPr="000B1942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5.1. Saistošo noteikumu īstenošana neietekmēs pašvaldības funkcijas.</w:t>
            </w:r>
          </w:p>
          <w:p w14:paraId="74D0FA18" w14:textId="77777777" w:rsidR="00546667" w:rsidRPr="000B1942" w:rsidRDefault="00546667" w:rsidP="0071629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</w:pPr>
            <w:r w:rsidRPr="000B1942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5.2. Saistošo noteikumu īstenošana neparedz papildu cilvēkresursu iesaisti.</w:t>
            </w:r>
          </w:p>
        </w:tc>
      </w:tr>
      <w:tr w:rsidR="00546667" w:rsidRPr="00CF5654" w14:paraId="1F967043" w14:textId="77777777" w:rsidTr="0071629D">
        <w:trPr>
          <w:trHeight w:val="493"/>
        </w:trPr>
        <w:tc>
          <w:tcPr>
            <w:tcW w:w="14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D1A554E" w14:textId="77777777" w:rsidR="00546667" w:rsidRPr="000B1942" w:rsidRDefault="00546667" w:rsidP="0071629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</w:pPr>
            <w:r w:rsidRPr="000B1942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6. Informācija par izpildes nodrošināšanu</w:t>
            </w:r>
          </w:p>
        </w:tc>
        <w:tc>
          <w:tcPr>
            <w:tcW w:w="3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6477D16" w14:textId="77777777" w:rsidR="00546667" w:rsidRPr="000B1942" w:rsidRDefault="00546667" w:rsidP="0071629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</w:pPr>
            <w:r w:rsidRPr="000B1942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Saistošo noteikumu izpildi nodrošinās Alūksnes novada bāriņtiesa, līdz ar to nav nepieciešama jaunu institūciju izveide.</w:t>
            </w:r>
          </w:p>
        </w:tc>
      </w:tr>
      <w:tr w:rsidR="00546667" w:rsidRPr="00CF5654" w14:paraId="07A39B09" w14:textId="77777777" w:rsidTr="0071629D">
        <w:trPr>
          <w:trHeight w:val="1140"/>
        </w:trPr>
        <w:tc>
          <w:tcPr>
            <w:tcW w:w="14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95D87D0" w14:textId="77777777" w:rsidR="00546667" w:rsidRPr="000B1942" w:rsidRDefault="00546667" w:rsidP="0071629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</w:pPr>
            <w:r w:rsidRPr="000B1942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7. Prasību un izmaksu samērīgums pret ieguvumiem, ko sniedz mērķa sasniegšana</w:t>
            </w:r>
          </w:p>
        </w:tc>
        <w:tc>
          <w:tcPr>
            <w:tcW w:w="3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4302FB9" w14:textId="77777777" w:rsidR="00546667" w:rsidRPr="000B1942" w:rsidRDefault="00546667" w:rsidP="0071629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</w:pPr>
            <w:r w:rsidRPr="000B1942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Saistošie noteikumi ir piemēroti iecerētā mērķa sasniegšanai un pašvaldības rīcība ir atbilstoša Pašvaldību likumam.</w:t>
            </w:r>
          </w:p>
        </w:tc>
      </w:tr>
      <w:tr w:rsidR="00546667" w:rsidRPr="00CF5654" w14:paraId="4DE20754" w14:textId="77777777" w:rsidTr="0071629D">
        <w:trPr>
          <w:trHeight w:val="2059"/>
        </w:trPr>
        <w:tc>
          <w:tcPr>
            <w:tcW w:w="14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7F5F0B" w14:textId="77777777" w:rsidR="00546667" w:rsidRPr="000B1942" w:rsidRDefault="00546667" w:rsidP="0071629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</w:pPr>
            <w:r w:rsidRPr="000B1942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8. Izstrādes gaitā veiktās konsultācijas ar privātpersonām un institūcijām</w:t>
            </w:r>
          </w:p>
        </w:tc>
        <w:tc>
          <w:tcPr>
            <w:tcW w:w="3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36DFA5E" w14:textId="77777777" w:rsidR="00546667" w:rsidRPr="000B1942" w:rsidRDefault="00546667" w:rsidP="0071629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</w:pPr>
            <w:r w:rsidRPr="000B1942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8.1. Sabiedrības līdzdalības veids - priekšlikumu un iebildumu i</w:t>
            </w:r>
            <w:r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z</w:t>
            </w:r>
            <w:r w:rsidRPr="000B1942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 xml:space="preserve">vērtēšana un iekļaušana pēc projekta publicēšanas pašvaldības tīmekļa vietnē internetā </w:t>
            </w:r>
            <w:proofErr w:type="spellStart"/>
            <w:r w:rsidRPr="000B1942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www.aluksne.lv</w:t>
            </w:r>
            <w:proofErr w:type="spellEnd"/>
            <w:r w:rsidRPr="000B1942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.</w:t>
            </w:r>
          </w:p>
          <w:p w14:paraId="5D2ACC07" w14:textId="77777777" w:rsidR="00546667" w:rsidRPr="000B1942" w:rsidRDefault="00546667" w:rsidP="0071629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</w:pPr>
            <w:r w:rsidRPr="00EA0959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 xml:space="preserve">8.2. Saistošo noteikumu projekts sabiedrības viedokļa noskaidrošanai publicēts pašvaldības tīmekļa vietnē internetā </w:t>
            </w:r>
            <w:proofErr w:type="spellStart"/>
            <w:r w:rsidRPr="00EA0959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www.aluksne.lv</w:t>
            </w:r>
            <w:proofErr w:type="spellEnd"/>
            <w:r w:rsidRPr="00EA0959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 xml:space="preserve"> no </w:t>
            </w:r>
            <w:r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30.04.2024.</w:t>
            </w:r>
            <w:r w:rsidRPr="00EA0959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 xml:space="preserve"> līdz </w:t>
            </w:r>
            <w:r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14.05.2024.</w:t>
            </w:r>
          </w:p>
        </w:tc>
      </w:tr>
      <w:tr w:rsidR="00546667" w:rsidRPr="00CF5654" w14:paraId="55E684F9" w14:textId="77777777" w:rsidTr="0071629D">
        <w:trPr>
          <w:trHeight w:val="808"/>
        </w:trPr>
        <w:tc>
          <w:tcPr>
            <w:tcW w:w="14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33FF2BC" w14:textId="77777777" w:rsidR="00546667" w:rsidRPr="00EA0959" w:rsidRDefault="00546667" w:rsidP="0071629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</w:pPr>
            <w:bookmarkStart w:id="2" w:name="p1"/>
            <w:bookmarkStart w:id="3" w:name="p-1247091"/>
            <w:bookmarkStart w:id="4" w:name="p2"/>
            <w:bookmarkStart w:id="5" w:name="p-1247092"/>
            <w:bookmarkStart w:id="6" w:name="p3"/>
            <w:bookmarkStart w:id="7" w:name="p-1247093"/>
            <w:bookmarkStart w:id="8" w:name="piel-1247095"/>
            <w:bookmarkStart w:id="9" w:name="1247096"/>
            <w:bookmarkStart w:id="10" w:name="n-1247096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EA0959">
              <w:rPr>
                <w:rFonts w:eastAsia="Calibri" w:cs="Times New Roman"/>
                <w:color w:val="000000"/>
                <w:szCs w:val="24"/>
                <w:lang w:val="lv-LV" w:eastAsia="lv-LV"/>
              </w:rPr>
              <w:lastRenderedPageBreak/>
              <w:t>9. Informācija par sabiedrības izteiktajiem viedokļiem par saistošo noteikumu projektu</w:t>
            </w:r>
          </w:p>
        </w:tc>
        <w:tc>
          <w:tcPr>
            <w:tcW w:w="3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750129A" w14:textId="77777777" w:rsidR="00546667" w:rsidRPr="00EA0959" w:rsidRDefault="00546667" w:rsidP="0071629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</w:pPr>
            <w:r w:rsidRPr="00EA0959">
              <w:rPr>
                <w:rFonts w:eastAsia="Calibri"/>
                <w:color w:val="000000"/>
                <w:lang w:val="lv-LV"/>
              </w:rPr>
              <w:t>Sabiedrības viedoklis par saistošo noteikumu projektu un to paskaidrojuma rakstu nav saņemts.</w:t>
            </w:r>
          </w:p>
        </w:tc>
      </w:tr>
      <w:bookmarkEnd w:id="1"/>
    </w:tbl>
    <w:p w14:paraId="07881502" w14:textId="77777777" w:rsidR="00546667" w:rsidRPr="00893DCD" w:rsidRDefault="00546667" w:rsidP="00546667">
      <w:pPr>
        <w:shd w:val="clear" w:color="auto" w:fill="FFFFFF"/>
        <w:spacing w:line="240" w:lineRule="auto"/>
        <w:rPr>
          <w:rFonts w:cs="Times New Roman"/>
          <w:lang w:val="lv-LV"/>
        </w:rPr>
      </w:pPr>
    </w:p>
    <w:p w14:paraId="0D7633C2" w14:textId="77777777" w:rsidR="00FE5483" w:rsidRDefault="00FE5483"/>
    <w:sectPr w:rsidR="00FE5483" w:rsidSect="000908B7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67AF4"/>
    <w:multiLevelType w:val="multilevel"/>
    <w:tmpl w:val="ADBEE62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77892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67"/>
    <w:rsid w:val="004F7DD7"/>
    <w:rsid w:val="00546667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ABE050"/>
  <w15:chartTrackingRefBased/>
  <w15:docId w15:val="{CF7F99C0-D168-47BF-8B2D-43231F7C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46667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46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.likumi.lv/ta/id/139369-barintiesu-lik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likumi.lv/ta/id/139369-barintiesu-likums" TargetMode="External"/><Relationship Id="rId5" Type="http://schemas.openxmlformats.org/officeDocument/2006/relationships/hyperlink" Target="https://m.likumi.lv/ta/id/139369-barintiesu-liku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3453</Words>
  <Characters>1969</Characters>
  <Application>Microsoft Office Word</Application>
  <DocSecurity>0</DocSecurity>
  <Lines>16</Lines>
  <Paragraphs>10</Paragraphs>
  <ScaleCrop>false</ScaleCrop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2024-06-19T19:09:00Z</dcterms:created>
  <dcterms:modified xsi:type="dcterms:W3CDTF">2024-06-19T19:11:00Z</dcterms:modified>
</cp:coreProperties>
</file>