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5A8C" w14:textId="77777777" w:rsidR="00387693" w:rsidRPr="0007002A" w:rsidRDefault="00387693" w:rsidP="00387693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07002A">
        <w:rPr>
          <w:rFonts w:ascii="Times New Roman" w:hAnsi="Times New Roman"/>
          <w:i/>
          <w:iCs/>
          <w:sz w:val="24"/>
          <w:szCs w:val="24"/>
        </w:rPr>
        <w:t>PROJEKTS</w:t>
      </w:r>
    </w:p>
    <w:p w14:paraId="3D89A9FD" w14:textId="77777777" w:rsidR="00387693" w:rsidRPr="0007002A" w:rsidRDefault="00387693" w:rsidP="00387693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39ED24EF" w14:textId="77777777" w:rsidR="0018087B" w:rsidRPr="0007002A" w:rsidRDefault="0018087B" w:rsidP="0018087B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bookmarkStart w:id="0" w:name="_Hlk161836793"/>
      <w:r w:rsidRPr="0007002A">
        <w:rPr>
          <w:rFonts w:ascii="Times New Roman" w:eastAsia="Times New Roman" w:hAnsi="Times New Roman"/>
          <w:b/>
          <w:sz w:val="24"/>
          <w:szCs w:val="24"/>
        </w:rPr>
        <w:t>Par grozījumiem Alūksnes novada pašvaldības domes 28.01.2021. lēmumā Nr. 9</w:t>
      </w:r>
    </w:p>
    <w:p w14:paraId="59AEBA77" w14:textId="18D423F4" w:rsidR="0018087B" w:rsidRPr="0007002A" w:rsidRDefault="0018087B" w:rsidP="0018087B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7002A">
        <w:rPr>
          <w:rFonts w:ascii="Times New Roman" w:eastAsia="Times New Roman" w:hAnsi="Times New Roman"/>
          <w:b/>
          <w:sz w:val="24"/>
          <w:szCs w:val="24"/>
        </w:rPr>
        <w:t>“</w:t>
      </w:r>
      <w:r w:rsidR="00A92A0B" w:rsidRPr="0007002A">
        <w:rPr>
          <w:rFonts w:ascii="Times New Roman" w:eastAsia="Times New Roman" w:hAnsi="Times New Roman"/>
          <w:b/>
          <w:sz w:val="24"/>
          <w:szCs w:val="24"/>
        </w:rPr>
        <w:t xml:space="preserve">Par </w:t>
      </w:r>
      <w:proofErr w:type="spellStart"/>
      <w:r w:rsidRPr="0007002A">
        <w:rPr>
          <w:rFonts w:ascii="Times New Roman" w:eastAsia="Times New Roman" w:hAnsi="Times New Roman"/>
          <w:b/>
          <w:sz w:val="24"/>
          <w:szCs w:val="24"/>
        </w:rPr>
        <w:t>Sosnovska</w:t>
      </w:r>
      <w:proofErr w:type="spellEnd"/>
      <w:r w:rsidRPr="0007002A">
        <w:rPr>
          <w:rFonts w:ascii="Times New Roman" w:eastAsia="Times New Roman" w:hAnsi="Times New Roman"/>
          <w:b/>
          <w:sz w:val="24"/>
          <w:szCs w:val="24"/>
        </w:rPr>
        <w:t xml:space="preserve"> latvāņa izplatības ierobežošanas pasākumu organizatorisk</w:t>
      </w:r>
      <w:r w:rsidR="00A92A0B" w:rsidRPr="0007002A">
        <w:rPr>
          <w:rFonts w:ascii="Times New Roman" w:eastAsia="Times New Roman" w:hAnsi="Times New Roman"/>
          <w:b/>
          <w:sz w:val="24"/>
          <w:szCs w:val="24"/>
        </w:rPr>
        <w:t>ā</w:t>
      </w:r>
      <w:r w:rsidRPr="0007002A">
        <w:rPr>
          <w:rFonts w:ascii="Times New Roman" w:eastAsia="Times New Roman" w:hAnsi="Times New Roman"/>
          <w:b/>
          <w:sz w:val="24"/>
          <w:szCs w:val="24"/>
        </w:rPr>
        <w:t xml:space="preserve"> plān</w:t>
      </w:r>
      <w:r w:rsidR="00A92A0B" w:rsidRPr="0007002A">
        <w:rPr>
          <w:rFonts w:ascii="Times New Roman" w:eastAsia="Times New Roman" w:hAnsi="Times New Roman"/>
          <w:b/>
          <w:sz w:val="24"/>
          <w:szCs w:val="24"/>
        </w:rPr>
        <w:t>a</w:t>
      </w:r>
      <w:r w:rsidRPr="0007002A">
        <w:rPr>
          <w:rFonts w:ascii="Times New Roman" w:eastAsia="Times New Roman" w:hAnsi="Times New Roman"/>
          <w:b/>
          <w:sz w:val="24"/>
          <w:szCs w:val="24"/>
        </w:rPr>
        <w:t xml:space="preserve"> 2021.- 2025. gadam </w:t>
      </w:r>
      <w:r w:rsidR="00A92A0B" w:rsidRPr="0007002A">
        <w:rPr>
          <w:rFonts w:ascii="Times New Roman" w:eastAsia="Times New Roman" w:hAnsi="Times New Roman"/>
          <w:b/>
          <w:sz w:val="24"/>
          <w:szCs w:val="24"/>
        </w:rPr>
        <w:t>apstiprināšanu</w:t>
      </w:r>
      <w:r w:rsidRPr="0007002A">
        <w:rPr>
          <w:rFonts w:ascii="Times New Roman" w:eastAsia="Times New Roman" w:hAnsi="Times New Roman"/>
          <w:b/>
          <w:sz w:val="24"/>
          <w:szCs w:val="24"/>
        </w:rPr>
        <w:t>”</w:t>
      </w:r>
    </w:p>
    <w:p w14:paraId="1F3458AD" w14:textId="77777777" w:rsidR="0018087B" w:rsidRPr="0007002A" w:rsidRDefault="0018087B" w:rsidP="0018087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642D84E3" w14:textId="77777777" w:rsidR="0007002A" w:rsidRDefault="00A92A0B" w:rsidP="0007002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7002A">
        <w:rPr>
          <w:rFonts w:ascii="Times New Roman" w:eastAsia="Times New Roman" w:hAnsi="Times New Roman"/>
          <w:sz w:val="24"/>
          <w:szCs w:val="24"/>
        </w:rPr>
        <w:t xml:space="preserve"> Ņemot vērā</w:t>
      </w:r>
      <w:r w:rsidR="0018087B" w:rsidRPr="0007002A">
        <w:rPr>
          <w:rFonts w:ascii="Times New Roman" w:eastAsia="Times New Roman" w:hAnsi="Times New Roman"/>
          <w:sz w:val="24"/>
          <w:szCs w:val="24"/>
        </w:rPr>
        <w:t xml:space="preserve"> Alūksnes novada pašvaldības domes </w:t>
      </w:r>
      <w:r w:rsidRPr="0007002A">
        <w:rPr>
          <w:rFonts w:ascii="Times New Roman" w:eastAsia="Times New Roman" w:hAnsi="Times New Roman"/>
          <w:sz w:val="24"/>
          <w:szCs w:val="24"/>
        </w:rPr>
        <w:t>2023.</w:t>
      </w:r>
      <w:r w:rsidR="0007002A">
        <w:rPr>
          <w:rFonts w:ascii="Times New Roman" w:eastAsia="Times New Roman" w:hAnsi="Times New Roman"/>
          <w:sz w:val="24"/>
          <w:szCs w:val="24"/>
        </w:rPr>
        <w:t> </w:t>
      </w:r>
      <w:r w:rsidRPr="0007002A">
        <w:rPr>
          <w:rFonts w:ascii="Times New Roman" w:eastAsia="Times New Roman" w:hAnsi="Times New Roman"/>
          <w:sz w:val="24"/>
          <w:szCs w:val="24"/>
        </w:rPr>
        <w:t>gada 29.</w:t>
      </w:r>
      <w:r w:rsidR="0007002A">
        <w:rPr>
          <w:rFonts w:ascii="Times New Roman" w:eastAsia="Times New Roman" w:hAnsi="Times New Roman"/>
          <w:sz w:val="24"/>
          <w:szCs w:val="24"/>
        </w:rPr>
        <w:t> </w:t>
      </w:r>
      <w:r w:rsidRPr="0007002A">
        <w:rPr>
          <w:rFonts w:ascii="Times New Roman" w:eastAsia="Times New Roman" w:hAnsi="Times New Roman"/>
          <w:sz w:val="24"/>
          <w:szCs w:val="24"/>
        </w:rPr>
        <w:t xml:space="preserve">jūnija </w:t>
      </w:r>
      <w:r w:rsidR="0018087B" w:rsidRPr="0007002A">
        <w:rPr>
          <w:rFonts w:ascii="Times New Roman" w:eastAsia="Times New Roman" w:hAnsi="Times New Roman"/>
          <w:sz w:val="24"/>
          <w:szCs w:val="24"/>
        </w:rPr>
        <w:t>lēmumu Nr.</w:t>
      </w:r>
      <w:r w:rsidR="0007002A">
        <w:rPr>
          <w:rFonts w:ascii="Times New Roman" w:eastAsia="Times New Roman" w:hAnsi="Times New Roman"/>
          <w:sz w:val="24"/>
          <w:szCs w:val="24"/>
        </w:rPr>
        <w:t> </w:t>
      </w:r>
      <w:r w:rsidR="0018087B" w:rsidRPr="0007002A">
        <w:rPr>
          <w:rFonts w:ascii="Times New Roman" w:eastAsia="Times New Roman" w:hAnsi="Times New Roman"/>
          <w:sz w:val="24"/>
          <w:szCs w:val="24"/>
        </w:rPr>
        <w:t xml:space="preserve">201 “Par aģentūras statusa noņemšanu Alūksnes novada pašvaldības aģentūrai “SPODRA”, Alūksnes novada pašvaldības domes </w:t>
      </w:r>
      <w:r w:rsidRPr="0007002A">
        <w:rPr>
          <w:rFonts w:ascii="Times New Roman" w:eastAsia="Times New Roman" w:hAnsi="Times New Roman"/>
          <w:sz w:val="24"/>
          <w:szCs w:val="24"/>
        </w:rPr>
        <w:t>2022.</w:t>
      </w:r>
      <w:r w:rsidR="0007002A">
        <w:rPr>
          <w:rFonts w:ascii="Times New Roman" w:eastAsia="Times New Roman" w:hAnsi="Times New Roman"/>
          <w:sz w:val="24"/>
          <w:szCs w:val="24"/>
        </w:rPr>
        <w:t> </w:t>
      </w:r>
      <w:r w:rsidRPr="0007002A">
        <w:rPr>
          <w:rFonts w:ascii="Times New Roman" w:eastAsia="Times New Roman" w:hAnsi="Times New Roman"/>
          <w:sz w:val="24"/>
          <w:szCs w:val="24"/>
        </w:rPr>
        <w:t>gada 27.</w:t>
      </w:r>
      <w:r w:rsidR="0007002A">
        <w:rPr>
          <w:rFonts w:ascii="Times New Roman" w:eastAsia="Times New Roman" w:hAnsi="Times New Roman"/>
          <w:sz w:val="24"/>
          <w:szCs w:val="24"/>
        </w:rPr>
        <w:t> </w:t>
      </w:r>
      <w:r w:rsidRPr="0007002A">
        <w:rPr>
          <w:rFonts w:ascii="Times New Roman" w:eastAsia="Times New Roman" w:hAnsi="Times New Roman"/>
          <w:sz w:val="24"/>
          <w:szCs w:val="24"/>
        </w:rPr>
        <w:t xml:space="preserve">oktobra </w:t>
      </w:r>
      <w:r w:rsidR="0018087B" w:rsidRPr="0007002A">
        <w:rPr>
          <w:rFonts w:ascii="Times New Roman" w:eastAsia="Times New Roman" w:hAnsi="Times New Roman"/>
          <w:sz w:val="24"/>
          <w:szCs w:val="24"/>
        </w:rPr>
        <w:t>lēmumu Nr.</w:t>
      </w:r>
      <w:r w:rsidR="0007002A">
        <w:rPr>
          <w:rFonts w:ascii="Times New Roman" w:eastAsia="Times New Roman" w:hAnsi="Times New Roman"/>
          <w:sz w:val="24"/>
          <w:szCs w:val="24"/>
        </w:rPr>
        <w:t> </w:t>
      </w:r>
      <w:r w:rsidR="0018087B" w:rsidRPr="0007002A">
        <w:rPr>
          <w:rFonts w:ascii="Times New Roman" w:eastAsia="Times New Roman" w:hAnsi="Times New Roman"/>
          <w:sz w:val="24"/>
          <w:szCs w:val="24"/>
        </w:rPr>
        <w:t>394 “Par Alūksnes novada pagastu teritoriālo vienību pārvaldi”</w:t>
      </w:r>
      <w:r w:rsidR="00106E7D" w:rsidRPr="0007002A">
        <w:rPr>
          <w:rFonts w:ascii="Times New Roman" w:eastAsia="Times New Roman" w:hAnsi="Times New Roman"/>
          <w:sz w:val="24"/>
          <w:szCs w:val="24"/>
        </w:rPr>
        <w:t>,</w:t>
      </w:r>
      <w:r w:rsidRPr="0007002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0F83992" w14:textId="75E79EA4" w:rsidR="0018087B" w:rsidRPr="0007002A" w:rsidRDefault="00A92A0B" w:rsidP="0007002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7002A">
        <w:rPr>
          <w:rFonts w:ascii="Times New Roman" w:eastAsia="Times New Roman" w:hAnsi="Times New Roman"/>
          <w:sz w:val="24"/>
          <w:szCs w:val="24"/>
        </w:rPr>
        <w:t xml:space="preserve">pamatojoties uz </w:t>
      </w:r>
      <w:r w:rsidR="0007002A" w:rsidRPr="0007002A">
        <w:rPr>
          <w:rFonts w:ascii="Times New Roman" w:eastAsia="Times New Roman" w:hAnsi="Times New Roman"/>
          <w:sz w:val="24"/>
          <w:szCs w:val="24"/>
        </w:rPr>
        <w:t xml:space="preserve"> Augu aizsardzības likuma 18.</w:t>
      </w:r>
      <w:r w:rsidR="0007002A" w:rsidRPr="0007002A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07002A">
        <w:rPr>
          <w:rFonts w:ascii="Times New Roman" w:eastAsia="Times New Roman" w:hAnsi="Times New Roman"/>
          <w:sz w:val="24"/>
          <w:szCs w:val="24"/>
          <w:vertAlign w:val="superscript"/>
        </w:rPr>
        <w:t> </w:t>
      </w:r>
      <w:r w:rsidR="0007002A" w:rsidRPr="0007002A">
        <w:rPr>
          <w:rFonts w:ascii="Times New Roman" w:eastAsia="Times New Roman" w:hAnsi="Times New Roman"/>
          <w:sz w:val="24"/>
          <w:szCs w:val="24"/>
        </w:rPr>
        <w:t>panta sestās daļas 1.</w:t>
      </w:r>
      <w:r w:rsidR="0007002A">
        <w:rPr>
          <w:rFonts w:ascii="Times New Roman" w:eastAsia="Times New Roman" w:hAnsi="Times New Roman"/>
          <w:sz w:val="24"/>
          <w:szCs w:val="24"/>
        </w:rPr>
        <w:t> </w:t>
      </w:r>
      <w:r w:rsidR="0007002A" w:rsidRPr="0007002A">
        <w:rPr>
          <w:rFonts w:ascii="Times New Roman" w:eastAsia="Times New Roman" w:hAnsi="Times New Roman"/>
          <w:sz w:val="24"/>
          <w:szCs w:val="24"/>
        </w:rPr>
        <w:t xml:space="preserve">punktu, Ministru kabineta 2008. gada 14. jūlija noteikumu Nr. 559 “Invazīvo augu sugas – </w:t>
      </w:r>
      <w:proofErr w:type="spellStart"/>
      <w:r w:rsidR="0007002A" w:rsidRPr="0007002A">
        <w:rPr>
          <w:rFonts w:ascii="Times New Roman" w:eastAsia="Times New Roman" w:hAnsi="Times New Roman"/>
          <w:sz w:val="24"/>
          <w:szCs w:val="24"/>
        </w:rPr>
        <w:t>Sosnovska</w:t>
      </w:r>
      <w:proofErr w:type="spellEnd"/>
      <w:r w:rsidR="0007002A" w:rsidRPr="0007002A">
        <w:rPr>
          <w:rFonts w:ascii="Times New Roman" w:eastAsia="Times New Roman" w:hAnsi="Times New Roman"/>
          <w:sz w:val="24"/>
          <w:szCs w:val="24"/>
        </w:rPr>
        <w:t xml:space="preserve"> latvāņa – izplatības ierobežošanas noteikumi” 12. punktu, </w:t>
      </w:r>
    </w:p>
    <w:p w14:paraId="4DC540D3" w14:textId="122CB9FE" w:rsidR="0018087B" w:rsidRPr="0007002A" w:rsidRDefault="0018087B" w:rsidP="0018087B">
      <w:pPr>
        <w:suppressAutoHyphens/>
        <w:autoSpaceDN w:val="0"/>
        <w:spacing w:before="120" w:after="12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7002A">
        <w:rPr>
          <w:rFonts w:ascii="Times New Roman" w:eastAsia="Times New Roman" w:hAnsi="Times New Roman"/>
          <w:sz w:val="24"/>
          <w:szCs w:val="24"/>
        </w:rPr>
        <w:t xml:space="preserve">Izdarīt Alūksnes novada pašvaldības domes 28.01.2021. lēmumā Nr. 9 </w:t>
      </w:r>
      <w:r w:rsidRPr="0007002A">
        <w:rPr>
          <w:rFonts w:ascii="Times New Roman" w:eastAsia="Times New Roman" w:hAnsi="Times New Roman"/>
          <w:bCs/>
          <w:sz w:val="24"/>
          <w:szCs w:val="24"/>
        </w:rPr>
        <w:t>“</w:t>
      </w:r>
      <w:r w:rsidR="00A92A0B" w:rsidRPr="0007002A">
        <w:rPr>
          <w:rFonts w:ascii="Times New Roman" w:eastAsia="Times New Roman" w:hAnsi="Times New Roman"/>
          <w:bCs/>
          <w:sz w:val="24"/>
          <w:szCs w:val="24"/>
        </w:rPr>
        <w:t xml:space="preserve">Par </w:t>
      </w:r>
      <w:proofErr w:type="spellStart"/>
      <w:r w:rsidRPr="0007002A">
        <w:rPr>
          <w:rFonts w:ascii="Times New Roman" w:eastAsia="Times New Roman" w:hAnsi="Times New Roman"/>
          <w:bCs/>
          <w:sz w:val="24"/>
          <w:szCs w:val="24"/>
        </w:rPr>
        <w:t>Sosnovska</w:t>
      </w:r>
      <w:proofErr w:type="spellEnd"/>
      <w:r w:rsidRPr="0007002A">
        <w:rPr>
          <w:rFonts w:ascii="Times New Roman" w:eastAsia="Times New Roman" w:hAnsi="Times New Roman"/>
          <w:bCs/>
          <w:sz w:val="24"/>
          <w:szCs w:val="24"/>
        </w:rPr>
        <w:t xml:space="preserve"> latvāņa izplatības ierobežošanas pasākumu organizatorisk</w:t>
      </w:r>
      <w:r w:rsidR="00A92A0B" w:rsidRPr="0007002A">
        <w:rPr>
          <w:rFonts w:ascii="Times New Roman" w:eastAsia="Times New Roman" w:hAnsi="Times New Roman"/>
          <w:bCs/>
          <w:sz w:val="24"/>
          <w:szCs w:val="24"/>
        </w:rPr>
        <w:t>ā</w:t>
      </w:r>
      <w:r w:rsidRPr="0007002A">
        <w:rPr>
          <w:rFonts w:ascii="Times New Roman" w:eastAsia="Times New Roman" w:hAnsi="Times New Roman"/>
          <w:bCs/>
          <w:sz w:val="24"/>
          <w:szCs w:val="24"/>
        </w:rPr>
        <w:t xml:space="preserve"> plān</w:t>
      </w:r>
      <w:r w:rsidR="00A92A0B" w:rsidRPr="0007002A">
        <w:rPr>
          <w:rFonts w:ascii="Times New Roman" w:eastAsia="Times New Roman" w:hAnsi="Times New Roman"/>
          <w:bCs/>
          <w:sz w:val="24"/>
          <w:szCs w:val="24"/>
        </w:rPr>
        <w:t>a</w:t>
      </w:r>
      <w:r w:rsidRPr="0007002A">
        <w:rPr>
          <w:rFonts w:ascii="Times New Roman" w:eastAsia="Times New Roman" w:hAnsi="Times New Roman"/>
          <w:bCs/>
          <w:sz w:val="24"/>
          <w:szCs w:val="24"/>
        </w:rPr>
        <w:t xml:space="preserve"> 2021.- 2025. gadam </w:t>
      </w:r>
      <w:r w:rsidR="00A92A0B" w:rsidRPr="0007002A">
        <w:rPr>
          <w:rFonts w:ascii="Times New Roman" w:eastAsia="Times New Roman" w:hAnsi="Times New Roman"/>
          <w:bCs/>
          <w:sz w:val="24"/>
          <w:szCs w:val="24"/>
        </w:rPr>
        <w:t>apstiprināšanu</w:t>
      </w:r>
      <w:r w:rsidRPr="0007002A">
        <w:rPr>
          <w:rFonts w:ascii="Times New Roman" w:eastAsia="Times New Roman" w:hAnsi="Times New Roman"/>
          <w:sz w:val="24"/>
          <w:szCs w:val="24"/>
        </w:rPr>
        <w:t>”, šādus grozījumus:</w:t>
      </w:r>
    </w:p>
    <w:p w14:paraId="2A269E4D" w14:textId="77777777" w:rsidR="0030603E" w:rsidRPr="0007002A" w:rsidRDefault="00387693" w:rsidP="0030603E">
      <w:pPr>
        <w:pStyle w:val="Sarakstarindkopa"/>
        <w:numPr>
          <w:ilvl w:val="0"/>
          <w:numId w:val="1"/>
        </w:numPr>
        <w:suppressAutoHyphens/>
        <w:autoSpaceDN w:val="0"/>
        <w:spacing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7002A">
        <w:rPr>
          <w:rFonts w:ascii="Times New Roman" w:eastAsia="Times New Roman" w:hAnsi="Times New Roman"/>
          <w:sz w:val="24"/>
          <w:szCs w:val="24"/>
        </w:rPr>
        <w:t>Izteikt plāna 3. punktu</w:t>
      </w:r>
      <w:r w:rsidR="0030603E" w:rsidRPr="0007002A">
        <w:rPr>
          <w:rFonts w:ascii="Times New Roman" w:eastAsia="Times New Roman" w:hAnsi="Times New Roman"/>
          <w:sz w:val="24"/>
          <w:szCs w:val="24"/>
        </w:rPr>
        <w:t xml:space="preserve"> jaunā redakcijā:</w:t>
      </w:r>
    </w:p>
    <w:p w14:paraId="51AD71A7" w14:textId="6384A11A" w:rsidR="00387693" w:rsidRPr="0007002A" w:rsidRDefault="0030603E" w:rsidP="0030603E">
      <w:pPr>
        <w:pStyle w:val="Sarakstarindkopa"/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7002A">
        <w:rPr>
          <w:rFonts w:ascii="Times New Roman" w:eastAsia="Times New Roman" w:hAnsi="Times New Roman"/>
          <w:sz w:val="24"/>
          <w:szCs w:val="24"/>
        </w:rPr>
        <w:t>“3.</w:t>
      </w:r>
      <w:r w:rsidR="00387693" w:rsidRPr="0007002A">
        <w:rPr>
          <w:rFonts w:ascii="Times New Roman" w:eastAsia="Times New Roman" w:hAnsi="Times New Roman"/>
          <w:sz w:val="24"/>
          <w:szCs w:val="24"/>
        </w:rPr>
        <w:t xml:space="preserve"> Par plāna izpildes uzraudzību pašvaldības kompetentās institūcijas:</w:t>
      </w:r>
    </w:p>
    <w:p w14:paraId="05EDEE43" w14:textId="77777777" w:rsidR="00387693" w:rsidRPr="0007002A" w:rsidRDefault="00387693" w:rsidP="0030603E">
      <w:pPr>
        <w:pStyle w:val="Sarakstarindkopa"/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7002A">
        <w:rPr>
          <w:rFonts w:ascii="Times New Roman" w:eastAsia="Times New Roman" w:hAnsi="Times New Roman"/>
          <w:sz w:val="24"/>
          <w:szCs w:val="24"/>
        </w:rPr>
        <w:t>3.1. Alūksnes pilsētā – Alūksnes novada pašvaldības iestāde “SPODRA”;</w:t>
      </w:r>
    </w:p>
    <w:p w14:paraId="13DA249C" w14:textId="394FD72F" w:rsidR="00387693" w:rsidRPr="0007002A" w:rsidRDefault="00387693" w:rsidP="0030603E">
      <w:pPr>
        <w:pStyle w:val="Sarakstarindkopa"/>
        <w:suppressAutoHyphens/>
        <w:autoSpaceDN w:val="0"/>
        <w:spacing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07002A">
        <w:rPr>
          <w:rFonts w:ascii="Times New Roman" w:eastAsia="Times New Roman" w:hAnsi="Times New Roman"/>
          <w:sz w:val="24"/>
          <w:szCs w:val="24"/>
        </w:rPr>
        <w:t>3.2. Alūksnes novada pagastos</w:t>
      </w:r>
      <w:r w:rsidRPr="0007002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7002A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07002A">
        <w:rPr>
          <w:rStyle w:val="Izteiksmgs"/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Alūksnes novada pagastu apvienības pārvalde.</w:t>
      </w:r>
      <w:r w:rsidR="0030603E" w:rsidRPr="0007002A">
        <w:rPr>
          <w:rStyle w:val="Izteiksmgs"/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”.</w:t>
      </w:r>
    </w:p>
    <w:p w14:paraId="32BB24DA" w14:textId="02107A6A" w:rsidR="00387693" w:rsidRPr="0007002A" w:rsidRDefault="00387693" w:rsidP="0030603E">
      <w:pPr>
        <w:pStyle w:val="Sarakstarindkopa"/>
        <w:numPr>
          <w:ilvl w:val="0"/>
          <w:numId w:val="1"/>
        </w:numPr>
        <w:suppressAutoHyphens/>
        <w:autoSpaceDN w:val="0"/>
        <w:spacing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7002A">
        <w:rPr>
          <w:rFonts w:ascii="Times New Roman" w:eastAsia="Times New Roman" w:hAnsi="Times New Roman"/>
          <w:sz w:val="24"/>
          <w:szCs w:val="24"/>
        </w:rPr>
        <w:t xml:space="preserve">Papildināt </w:t>
      </w:r>
      <w:r w:rsidR="0030603E" w:rsidRPr="0007002A">
        <w:rPr>
          <w:rFonts w:ascii="Times New Roman" w:eastAsia="Times New Roman" w:hAnsi="Times New Roman"/>
          <w:sz w:val="24"/>
          <w:szCs w:val="24"/>
        </w:rPr>
        <w:t>plāna pielikumu ar jauniem 47.3.</w:t>
      </w:r>
      <w:r w:rsidR="0030603E" w:rsidRPr="0007002A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30603E" w:rsidRPr="0007002A">
        <w:rPr>
          <w:rFonts w:ascii="Times New Roman" w:eastAsia="Times New Roman" w:hAnsi="Times New Roman"/>
          <w:sz w:val="24"/>
          <w:szCs w:val="24"/>
        </w:rPr>
        <w:t>,  47.3.</w:t>
      </w:r>
      <w:r w:rsidR="0030603E" w:rsidRPr="0007002A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30603E" w:rsidRPr="0007002A">
        <w:rPr>
          <w:rFonts w:ascii="Times New Roman" w:eastAsia="Times New Roman" w:hAnsi="Times New Roman"/>
          <w:sz w:val="24"/>
          <w:szCs w:val="24"/>
        </w:rPr>
        <w:t>, 47.3.</w:t>
      </w:r>
      <w:r w:rsidR="0030603E" w:rsidRPr="0007002A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30603E" w:rsidRPr="0007002A">
        <w:rPr>
          <w:rFonts w:ascii="Times New Roman" w:eastAsia="Times New Roman" w:hAnsi="Times New Roman"/>
          <w:sz w:val="24"/>
          <w:szCs w:val="24"/>
        </w:rPr>
        <w:t xml:space="preserve"> un 47.3.</w:t>
      </w:r>
      <w:r w:rsidR="0030603E" w:rsidRPr="0007002A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  <w:r w:rsidR="0030603E" w:rsidRPr="0007002A">
        <w:rPr>
          <w:rFonts w:ascii="Times New Roman" w:eastAsia="Times New Roman" w:hAnsi="Times New Roman"/>
          <w:sz w:val="24"/>
          <w:szCs w:val="24"/>
        </w:rPr>
        <w:t xml:space="preserve"> ierakstiem.</w:t>
      </w:r>
    </w:p>
    <w:p w14:paraId="5081912B" w14:textId="77777777" w:rsidR="00387693" w:rsidRPr="0007002A" w:rsidRDefault="00387693" w:rsidP="0030603E">
      <w:pPr>
        <w:pStyle w:val="Sarakstarindkopa"/>
        <w:numPr>
          <w:ilvl w:val="0"/>
          <w:numId w:val="1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7002A">
        <w:rPr>
          <w:rFonts w:ascii="Times New Roman" w:eastAsia="Times New Roman" w:hAnsi="Times New Roman"/>
          <w:sz w:val="24"/>
          <w:szCs w:val="24"/>
        </w:rPr>
        <w:t>Lēmums stājas spēkā 2024. gada 1.aprīlī.</w:t>
      </w:r>
    </w:p>
    <w:p w14:paraId="15AAED86" w14:textId="306CC6F6" w:rsidR="00387693" w:rsidRPr="0007002A" w:rsidRDefault="00387693" w:rsidP="0030603E">
      <w:p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8198D74" w14:textId="3F1398C0" w:rsidR="0030603E" w:rsidRPr="0007002A" w:rsidRDefault="0030603E" w:rsidP="003060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7002A">
        <w:rPr>
          <w:rFonts w:ascii="Times New Roman" w:eastAsia="Times New Roman" w:hAnsi="Times New Roman"/>
          <w:sz w:val="24"/>
          <w:szCs w:val="24"/>
        </w:rPr>
        <w:t xml:space="preserve">Pielikumā: </w:t>
      </w:r>
      <w:proofErr w:type="spellStart"/>
      <w:r w:rsidRPr="0007002A">
        <w:rPr>
          <w:rFonts w:ascii="Times New Roman" w:eastAsia="Times New Roman" w:hAnsi="Times New Roman"/>
          <w:sz w:val="24"/>
          <w:szCs w:val="24"/>
        </w:rPr>
        <w:t>Sosnovska</w:t>
      </w:r>
      <w:proofErr w:type="spellEnd"/>
      <w:r w:rsidRPr="0007002A">
        <w:rPr>
          <w:rFonts w:ascii="Times New Roman" w:eastAsia="Times New Roman" w:hAnsi="Times New Roman"/>
          <w:sz w:val="24"/>
          <w:szCs w:val="24"/>
        </w:rPr>
        <w:t xml:space="preserve"> latvāņa izplatības ierobežošanas pasākumu kalendār</w:t>
      </w:r>
      <w:r w:rsidR="00F737D9" w:rsidRPr="0007002A">
        <w:rPr>
          <w:rFonts w:ascii="Times New Roman" w:eastAsia="Times New Roman" w:hAnsi="Times New Roman"/>
          <w:sz w:val="24"/>
          <w:szCs w:val="24"/>
        </w:rPr>
        <w:t xml:space="preserve">ā </w:t>
      </w:r>
      <w:r w:rsidRPr="0007002A">
        <w:rPr>
          <w:rFonts w:ascii="Times New Roman" w:eastAsia="Times New Roman" w:hAnsi="Times New Roman"/>
          <w:sz w:val="24"/>
          <w:szCs w:val="24"/>
        </w:rPr>
        <w:t>grafika  2021.- 2025. gadam un ierobežošanas meto</w:t>
      </w:r>
      <w:r w:rsidR="00F737D9" w:rsidRPr="0007002A">
        <w:rPr>
          <w:rFonts w:ascii="Times New Roman" w:eastAsia="Times New Roman" w:hAnsi="Times New Roman"/>
          <w:sz w:val="24"/>
          <w:szCs w:val="24"/>
        </w:rPr>
        <w:t>žu</w:t>
      </w:r>
      <w:r w:rsidRPr="0007002A">
        <w:rPr>
          <w:rFonts w:ascii="Times New Roman" w:eastAsia="Times New Roman" w:hAnsi="Times New Roman"/>
          <w:sz w:val="24"/>
          <w:szCs w:val="24"/>
        </w:rPr>
        <w:t xml:space="preserve"> jaunie ieraksti uz 1 lapas.</w:t>
      </w:r>
    </w:p>
    <w:p w14:paraId="2BE38AA9" w14:textId="77777777" w:rsidR="0030603E" w:rsidRPr="0007002A" w:rsidRDefault="0030603E" w:rsidP="003876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bookmarkEnd w:id="0"/>
    <w:p w14:paraId="56DA8F86" w14:textId="667F215F" w:rsidR="0030603E" w:rsidRDefault="0030603E" w:rsidP="004A2F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  <w:sectPr w:rsidR="0030603E" w:rsidSect="004F7DD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6CCFF00" w14:textId="77777777" w:rsidR="0030603E" w:rsidRPr="0030603E" w:rsidRDefault="0030603E" w:rsidP="0030603E">
      <w:pPr>
        <w:shd w:val="clear" w:color="auto" w:fill="FFFFFF"/>
        <w:tabs>
          <w:tab w:val="left" w:pos="0"/>
        </w:tabs>
        <w:spacing w:after="0" w:line="240" w:lineRule="auto"/>
        <w:ind w:right="-454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_Hlk161836827"/>
      <w:r w:rsidRPr="0030603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Pielikums</w:t>
      </w:r>
    </w:p>
    <w:p w14:paraId="615F9D48" w14:textId="77777777" w:rsidR="0030603E" w:rsidRPr="0030603E" w:rsidRDefault="0030603E" w:rsidP="0030603E">
      <w:pPr>
        <w:shd w:val="clear" w:color="auto" w:fill="FFFFFF"/>
        <w:tabs>
          <w:tab w:val="left" w:pos="0"/>
        </w:tabs>
        <w:spacing w:after="0" w:line="240" w:lineRule="auto"/>
        <w:ind w:right="-454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6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proofErr w:type="spellStart"/>
      <w:r w:rsidRPr="0030603E">
        <w:rPr>
          <w:rFonts w:ascii="Times New Roman" w:eastAsia="Times New Roman" w:hAnsi="Times New Roman" w:cs="Times New Roman"/>
          <w:sz w:val="24"/>
          <w:szCs w:val="24"/>
          <w:lang w:eastAsia="lv-LV"/>
        </w:rPr>
        <w:t>Sosnovska</w:t>
      </w:r>
      <w:proofErr w:type="spellEnd"/>
      <w:r w:rsidRPr="003060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latvāņa izplatības ierobežošanas pasākumu organizatoriskais plāns 2021.-2025. gadam”</w:t>
      </w:r>
    </w:p>
    <w:p w14:paraId="2C21BDC8" w14:textId="77777777" w:rsidR="0030603E" w:rsidRPr="0030603E" w:rsidRDefault="0030603E" w:rsidP="0030603E">
      <w:pPr>
        <w:tabs>
          <w:tab w:val="left" w:pos="0"/>
        </w:tabs>
        <w:spacing w:line="256" w:lineRule="auto"/>
        <w:ind w:left="-709" w:firstLine="1276"/>
        <w:jc w:val="center"/>
        <w:rPr>
          <w:rFonts w:ascii="Times New Roman" w:eastAsia="Calibri" w:hAnsi="Times New Roman" w:cs="Times New Roman"/>
          <w:sz w:val="20"/>
          <w:szCs w:val="18"/>
        </w:rPr>
      </w:pPr>
    </w:p>
    <w:p w14:paraId="257A6757" w14:textId="77777777" w:rsidR="0030603E" w:rsidRPr="0030603E" w:rsidRDefault="0030603E" w:rsidP="0030603E">
      <w:pPr>
        <w:tabs>
          <w:tab w:val="left" w:pos="0"/>
        </w:tabs>
        <w:spacing w:line="256" w:lineRule="auto"/>
        <w:ind w:firstLine="567"/>
        <w:jc w:val="center"/>
        <w:rPr>
          <w:rFonts w:ascii="Times New Roman" w:eastAsia="Calibri" w:hAnsi="Times New Roman" w:cs="Times New Roman"/>
          <w:b/>
          <w:strike/>
          <w:color w:val="0070C0"/>
          <w:sz w:val="24"/>
          <w:szCs w:val="24"/>
        </w:rPr>
      </w:pPr>
      <w:proofErr w:type="spellStart"/>
      <w:r w:rsidRPr="0030603E">
        <w:rPr>
          <w:rFonts w:ascii="Times New Roman" w:eastAsia="Calibri" w:hAnsi="Times New Roman" w:cs="Times New Roman"/>
          <w:b/>
          <w:sz w:val="24"/>
          <w:szCs w:val="24"/>
        </w:rPr>
        <w:t>Sosnovska</w:t>
      </w:r>
      <w:proofErr w:type="spellEnd"/>
      <w:r w:rsidRPr="0030603E">
        <w:rPr>
          <w:rFonts w:ascii="Times New Roman" w:eastAsia="Calibri" w:hAnsi="Times New Roman" w:cs="Times New Roman"/>
          <w:b/>
          <w:sz w:val="24"/>
          <w:szCs w:val="24"/>
        </w:rPr>
        <w:t xml:space="preserve"> latvāņa izplatības ierobežošanas pasākumu kalendārais grafiks 2021. – 2025. gadam un ierobežošanas metodes</w:t>
      </w:r>
    </w:p>
    <w:tbl>
      <w:tblPr>
        <w:tblStyle w:val="Reatabula"/>
        <w:tblpPr w:leftFromText="180" w:rightFromText="180" w:vertAnchor="text" w:horzAnchor="margin" w:tblpXSpec="center" w:tblpY="-42"/>
        <w:tblOverlap w:val="never"/>
        <w:tblW w:w="160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419"/>
        <w:gridCol w:w="1134"/>
        <w:gridCol w:w="993"/>
        <w:gridCol w:w="992"/>
        <w:gridCol w:w="2127"/>
        <w:gridCol w:w="426"/>
        <w:gridCol w:w="424"/>
        <w:gridCol w:w="427"/>
        <w:gridCol w:w="425"/>
        <w:gridCol w:w="425"/>
        <w:gridCol w:w="424"/>
        <w:gridCol w:w="4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0603E" w:rsidRPr="0030603E" w14:paraId="036570CA" w14:textId="77777777" w:rsidTr="00275727">
        <w:trPr>
          <w:trHeight w:val="2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4B98" w14:textId="77777777" w:rsidR="0030603E" w:rsidRPr="0030603E" w:rsidRDefault="0030603E" w:rsidP="0030603E">
            <w:pPr>
              <w:tabs>
                <w:tab w:val="left" w:pos="-113"/>
              </w:tabs>
              <w:ind w:left="-11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161219961"/>
            <w:proofErr w:type="spellStart"/>
            <w:r w:rsidRPr="0030603E">
              <w:rPr>
                <w:rFonts w:ascii="Times New Roman" w:eastAsia="Calibri" w:hAnsi="Times New Roman" w:cs="Times New Roman"/>
                <w:sz w:val="20"/>
                <w:szCs w:val="20"/>
              </w:rPr>
              <w:t>N.p.k</w:t>
            </w:r>
            <w:proofErr w:type="spellEnd"/>
            <w:r w:rsidRPr="003060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01FF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Zemes vienības kadastra apzīmējums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968A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Zemes īpašnieks vai tiesiskais valdītājs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0EC33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proofErr w:type="spellStart"/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Invadētā</w:t>
            </w:r>
            <w:proofErr w:type="spellEnd"/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platība, ha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1F9F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Invadētās</w:t>
            </w:r>
            <w:proofErr w:type="spellEnd"/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platības blīvums, 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C7FD" w14:textId="77777777" w:rsidR="0030603E" w:rsidRPr="0030603E" w:rsidRDefault="0030603E" w:rsidP="00306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sz w:val="20"/>
                <w:szCs w:val="20"/>
              </w:rPr>
              <w:t>Laika posms, kurā paredzami latvāņa ierobežošanas pasākumi (2021.- 2025. g.)</w:t>
            </w:r>
          </w:p>
        </w:tc>
        <w:tc>
          <w:tcPr>
            <w:tcW w:w="85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1BB5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Ierobežošanas metode</w:t>
            </w:r>
          </w:p>
          <w:p w14:paraId="156FF70D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0603E" w:rsidRPr="0030603E" w14:paraId="03F35C09" w14:textId="77777777" w:rsidTr="00275727">
        <w:trPr>
          <w:trHeight w:val="15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984C" w14:textId="77777777" w:rsidR="0030603E" w:rsidRPr="0030603E" w:rsidRDefault="0030603E" w:rsidP="00306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8E2C" w14:textId="77777777" w:rsidR="0030603E" w:rsidRPr="0030603E" w:rsidRDefault="0030603E" w:rsidP="003060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23C5" w14:textId="77777777" w:rsidR="0030603E" w:rsidRPr="0030603E" w:rsidRDefault="0030603E" w:rsidP="0030603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2B17" w14:textId="77777777" w:rsidR="0030603E" w:rsidRPr="0030603E" w:rsidRDefault="0030603E" w:rsidP="003060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C1C2" w14:textId="77777777" w:rsidR="0030603E" w:rsidRPr="0030603E" w:rsidRDefault="0030603E" w:rsidP="0030603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165B" w14:textId="77777777" w:rsidR="0030603E" w:rsidRPr="0030603E" w:rsidRDefault="0030603E" w:rsidP="00306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6399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2021. gads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A372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2022. gads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3577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2023. gads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E309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2024. gads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AB8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2025. gads</w:t>
            </w:r>
          </w:p>
        </w:tc>
      </w:tr>
      <w:tr w:rsidR="0030603E" w:rsidRPr="0030603E" w14:paraId="6FBBF5CB" w14:textId="77777777" w:rsidTr="00275727">
        <w:trPr>
          <w:trHeight w:val="283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842C" w14:textId="77777777" w:rsidR="0030603E" w:rsidRPr="0030603E" w:rsidRDefault="0030603E" w:rsidP="00306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555" w14:textId="77777777" w:rsidR="0030603E" w:rsidRPr="0030603E" w:rsidRDefault="0030603E" w:rsidP="003060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722A" w14:textId="77777777" w:rsidR="0030603E" w:rsidRPr="0030603E" w:rsidRDefault="0030603E" w:rsidP="0030603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964B" w14:textId="77777777" w:rsidR="0030603E" w:rsidRPr="0030603E" w:rsidRDefault="0030603E" w:rsidP="0030603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7757" w14:textId="77777777" w:rsidR="0030603E" w:rsidRPr="0030603E" w:rsidRDefault="0030603E" w:rsidP="0030603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1202" w14:textId="77777777" w:rsidR="0030603E" w:rsidRPr="0030603E" w:rsidRDefault="0030603E" w:rsidP="00306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28F" w14:textId="77777777" w:rsidR="0030603E" w:rsidRPr="0030603E" w:rsidRDefault="0030603E" w:rsidP="0030603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F489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E22A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6083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7A14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07BE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B985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17AE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4B7E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2672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BF0E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352F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0F48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ABC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89F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2BEF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574D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F8E4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2D73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80D3" w14:textId="77777777" w:rsidR="0030603E" w:rsidRPr="0030603E" w:rsidRDefault="0030603E" w:rsidP="0030603E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60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</w:t>
            </w:r>
          </w:p>
        </w:tc>
      </w:tr>
      <w:tr w:rsidR="0030603E" w:rsidRPr="0030603E" w14:paraId="201FFE81" w14:textId="77777777" w:rsidTr="00275727">
        <w:trPr>
          <w:trHeight w:val="1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01B" w14:textId="77777777" w:rsidR="0030603E" w:rsidRPr="0030603E" w:rsidRDefault="0030603E" w:rsidP="0030603E">
            <w:pPr>
              <w:tabs>
                <w:tab w:val="left" w:pos="-113"/>
                <w:tab w:val="left" w:pos="4918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C9E4" w14:textId="77777777" w:rsidR="0030603E" w:rsidRPr="0030603E" w:rsidRDefault="0030603E" w:rsidP="003060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0603E">
              <w:rPr>
                <w:rFonts w:ascii="Times New Roman" w:eastAsia="Calibri" w:hAnsi="Times New Roman" w:cs="Times New Roman"/>
                <w:b/>
                <w:sz w:val="24"/>
              </w:rPr>
              <w:t>Jaunalūksnes pagasts</w:t>
            </w:r>
          </w:p>
        </w:tc>
      </w:tr>
      <w:tr w:rsidR="0030603E" w:rsidRPr="0030603E" w14:paraId="086569A9" w14:textId="77777777" w:rsidTr="00275727">
        <w:trPr>
          <w:trHeight w:val="5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A11" w14:textId="416B691E" w:rsidR="0030603E" w:rsidRPr="0030603E" w:rsidRDefault="0030603E" w:rsidP="0030603E">
            <w:pPr>
              <w:tabs>
                <w:tab w:val="left" w:pos="-113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Calibri" w:hAnsi="Times New Roman" w:cs="Times New Roman"/>
                <w:sz w:val="20"/>
                <w:szCs w:val="20"/>
              </w:rPr>
              <w:t>4.37</w:t>
            </w: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B8C16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36560080043</w:t>
            </w:r>
          </w:p>
          <w:p w14:paraId="0EE155BB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A652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Calibri" w:hAnsi="Times New Roman" w:cs="Times New Roman"/>
                <w:sz w:val="20"/>
                <w:szCs w:val="20"/>
              </w:rPr>
              <w:t>Fiziska persona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8B40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1301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F7D6" w14:textId="27CC7141" w:rsidR="00703324" w:rsidRPr="004A2FAF" w:rsidRDefault="00703324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AEC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C4D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686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046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CB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185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5C1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02B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067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701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74D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24A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A89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8D0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4E5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D3B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AAF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84C7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B1E4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4B60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30603E" w:rsidRPr="0030603E" w14:paraId="1FB2D336" w14:textId="77777777" w:rsidTr="00275727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2C52" w14:textId="30BF1C1C" w:rsidR="0030603E" w:rsidRPr="0030603E" w:rsidRDefault="0030603E" w:rsidP="0030603E">
            <w:pPr>
              <w:tabs>
                <w:tab w:val="left" w:pos="-113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1AE8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1D4F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Calibri" w:hAnsi="Times New Roman" w:cs="Times New Roman"/>
                <w:sz w:val="20"/>
              </w:rPr>
              <w:t>Fiziska persona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302D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0.3695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4F9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E7E5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1F3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53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676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36B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C56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F7B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118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909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6A7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89FA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656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4E6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C94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1E0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EC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C46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416F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E84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D12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33B0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30603E" w:rsidRPr="0030603E" w14:paraId="275A768C" w14:textId="77777777" w:rsidTr="00275727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843A" w14:textId="22C761AF" w:rsidR="0030603E" w:rsidRPr="0030603E" w:rsidRDefault="0030603E" w:rsidP="0030603E">
            <w:pPr>
              <w:tabs>
                <w:tab w:val="left" w:pos="-113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67518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36560080049</w:t>
            </w:r>
          </w:p>
          <w:p w14:paraId="6CE6F341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723" w14:textId="77777777" w:rsidR="0030603E" w:rsidRPr="0030603E" w:rsidRDefault="0030603E" w:rsidP="003060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603E">
              <w:rPr>
                <w:rFonts w:ascii="Times New Roman" w:eastAsia="Calibri" w:hAnsi="Times New Roman" w:cs="Times New Roman"/>
                <w:sz w:val="20"/>
              </w:rPr>
              <w:t>Fiziska persona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3B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0.3156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466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59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30F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F89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2A1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C562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199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1FB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D80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FF5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F649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FE8C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B43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11F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C8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257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AA2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966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202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C67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7E9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673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tr w:rsidR="0030603E" w:rsidRPr="0030603E" w14:paraId="09F6C6C5" w14:textId="77777777" w:rsidTr="00275727">
        <w:trPr>
          <w:trHeight w:val="28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83F" w14:textId="07482D07" w:rsidR="0030603E" w:rsidRPr="0030603E" w:rsidRDefault="0030603E" w:rsidP="0030603E">
            <w:pPr>
              <w:tabs>
                <w:tab w:val="left" w:pos="-113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C5A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F03" w14:textId="77777777" w:rsidR="0030603E" w:rsidRPr="0030603E" w:rsidRDefault="0030603E" w:rsidP="0030603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0603E">
              <w:rPr>
                <w:rFonts w:ascii="Times New Roman" w:eastAsia="Calibri" w:hAnsi="Times New Roman" w:cs="Times New Roman"/>
                <w:sz w:val="20"/>
              </w:rPr>
              <w:t>Fiziska persona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985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0.2172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EA8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769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maijs – latvāņu veģetācijas sezonas beigas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F18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170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7BD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2D29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843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C3A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E69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49B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C93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3D9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843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04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27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3AA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D12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3CFC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A65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F6E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786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457" w14:textId="77777777" w:rsidR="0030603E" w:rsidRPr="0030603E" w:rsidRDefault="0030603E" w:rsidP="0030603E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0603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</w:t>
            </w:r>
          </w:p>
        </w:tc>
      </w:tr>
      <w:bookmarkEnd w:id="2"/>
    </w:tbl>
    <w:p w14:paraId="5B341C1A" w14:textId="77777777" w:rsidR="0030603E" w:rsidRPr="0030603E" w:rsidRDefault="0030603E" w:rsidP="0030603E">
      <w:pPr>
        <w:spacing w:line="256" w:lineRule="auto"/>
        <w:rPr>
          <w:rFonts w:ascii="Calibri" w:eastAsia="Calibri" w:hAnsi="Calibri" w:cs="Times New Roman"/>
        </w:rPr>
      </w:pPr>
    </w:p>
    <w:p w14:paraId="7926F58C" w14:textId="77777777" w:rsidR="0030603E" w:rsidRPr="0030603E" w:rsidRDefault="0030603E" w:rsidP="0030603E">
      <w:pPr>
        <w:rPr>
          <w:rFonts w:ascii="Calibri" w:eastAsia="Calibri" w:hAnsi="Calibri" w:cs="Times New Roman"/>
        </w:rPr>
      </w:pPr>
    </w:p>
    <w:p w14:paraId="5C797521" w14:textId="77777777" w:rsidR="00387693" w:rsidRDefault="00387693" w:rsidP="0038769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A8F5A04" w14:textId="77777777" w:rsidR="00387693" w:rsidRDefault="00387693" w:rsidP="00387693">
      <w:pPr>
        <w:suppressAutoHyphens/>
        <w:autoSpaceDN w:val="0"/>
        <w:spacing w:after="0" w:line="240" w:lineRule="auto"/>
        <w:textAlignment w:val="baseline"/>
        <w:rPr>
          <w:rFonts w:ascii="MS Sans Serif" w:eastAsia="Times New Roman" w:hAnsi="MS Sans Serif"/>
          <w:sz w:val="20"/>
          <w:szCs w:val="20"/>
        </w:rPr>
      </w:pPr>
    </w:p>
    <w:bookmarkEnd w:id="1"/>
    <w:p w14:paraId="3850692E" w14:textId="2FA15F0E" w:rsidR="00CC37A4" w:rsidRPr="0030603E" w:rsidRDefault="00CC37A4" w:rsidP="0030603E">
      <w:pPr>
        <w:spacing w:line="256" w:lineRule="auto"/>
        <w:rPr>
          <w:rFonts w:ascii="Calibri" w:eastAsia="Calibri" w:hAnsi="Calibri"/>
        </w:rPr>
      </w:pPr>
    </w:p>
    <w:sectPr w:rsidR="00CC37A4" w:rsidRPr="0030603E" w:rsidSect="0030603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D6556"/>
    <w:multiLevelType w:val="hybridMultilevel"/>
    <w:tmpl w:val="EAD4841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33604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93"/>
    <w:rsid w:val="0007002A"/>
    <w:rsid w:val="00106E7D"/>
    <w:rsid w:val="0014189E"/>
    <w:rsid w:val="0018087B"/>
    <w:rsid w:val="001E1C1A"/>
    <w:rsid w:val="00290A19"/>
    <w:rsid w:val="0030603E"/>
    <w:rsid w:val="00387693"/>
    <w:rsid w:val="004A2FAF"/>
    <w:rsid w:val="004F7DD7"/>
    <w:rsid w:val="006512F0"/>
    <w:rsid w:val="00703324"/>
    <w:rsid w:val="00A92A0B"/>
    <w:rsid w:val="00B80334"/>
    <w:rsid w:val="00CC37A4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59BAB"/>
  <w15:chartTrackingRefBased/>
  <w15:docId w15:val="{8FE8224E-05F0-420A-9312-C3F528AC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7693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876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Izteiksmgs">
    <w:name w:val="Strong"/>
    <w:basedOn w:val="Noklusjumarindkopasfonts"/>
    <w:uiPriority w:val="22"/>
    <w:qFormat/>
    <w:rsid w:val="00387693"/>
    <w:rPr>
      <w:b/>
      <w:bCs/>
    </w:rPr>
  </w:style>
  <w:style w:type="table" w:styleId="Reatabula">
    <w:name w:val="Table Grid"/>
    <w:basedOn w:val="Parastatabula"/>
    <w:uiPriority w:val="39"/>
    <w:rsid w:val="00306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B80334"/>
    <w:pPr>
      <w:spacing w:after="0" w:line="240" w:lineRule="auto"/>
    </w:pPr>
    <w:rPr>
      <w:rFonts w:asciiTheme="minorHAnsi" w:hAnsiTheme="minorHAnsi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290A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90A1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90A19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90A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90A19"/>
    <w:rPr>
      <w:rFonts w:asciiTheme="minorHAnsi" w:hAnsiTheme="minorHAnsi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0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cp:lastPrinted>2024-03-15T06:28:00Z</cp:lastPrinted>
  <dcterms:created xsi:type="dcterms:W3CDTF">2024-03-20T12:31:00Z</dcterms:created>
  <dcterms:modified xsi:type="dcterms:W3CDTF">2024-03-20T12:31:00Z</dcterms:modified>
</cp:coreProperties>
</file>