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E404C" w14:textId="7F7D2E07" w:rsidR="001D0AC9" w:rsidRPr="005D22A2" w:rsidRDefault="00F933E8" w:rsidP="00F933E8">
      <w:pPr>
        <w:spacing w:after="0" w:line="240" w:lineRule="auto"/>
        <w:jc w:val="right"/>
        <w:rPr>
          <w:i/>
          <w:iCs/>
        </w:rPr>
      </w:pPr>
      <w:r w:rsidRPr="005D22A2">
        <w:rPr>
          <w:i/>
          <w:iCs/>
        </w:rPr>
        <w:t>Lēmuma projekts</w:t>
      </w:r>
    </w:p>
    <w:p w14:paraId="005BB137" w14:textId="3B6E0414" w:rsidR="00F933E8" w:rsidRDefault="00F933E8" w:rsidP="00F933E8">
      <w:pPr>
        <w:spacing w:after="0" w:line="240" w:lineRule="auto"/>
        <w:jc w:val="center"/>
        <w:rPr>
          <w:b/>
          <w:bCs/>
        </w:rPr>
      </w:pPr>
      <w:r>
        <w:rPr>
          <w:b/>
          <w:bCs/>
        </w:rPr>
        <w:t>Par saistošo noteikumu Nr. ___</w:t>
      </w:r>
      <w:r w:rsidR="008D7262">
        <w:rPr>
          <w:b/>
          <w:bCs/>
        </w:rPr>
        <w:t>/2024</w:t>
      </w:r>
    </w:p>
    <w:p w14:paraId="32FB9CCD" w14:textId="3EEE3A38" w:rsidR="00F933E8" w:rsidRDefault="00F933E8" w:rsidP="00960ADC">
      <w:pPr>
        <w:spacing w:after="0" w:line="240" w:lineRule="auto"/>
        <w:jc w:val="center"/>
        <w:rPr>
          <w:b/>
          <w:bCs/>
        </w:rPr>
      </w:pPr>
      <w:r>
        <w:rPr>
          <w:b/>
          <w:bCs/>
        </w:rPr>
        <w:t>“Par Alūksnes novada pašvaldības domes 2013</w:t>
      </w:r>
      <w:r w:rsidR="00332B8C">
        <w:rPr>
          <w:b/>
          <w:bCs/>
        </w:rPr>
        <w:t>. gada 27. jūnija</w:t>
      </w:r>
      <w:r>
        <w:rPr>
          <w:b/>
          <w:bCs/>
        </w:rPr>
        <w:t xml:space="preserve"> saistošo noteikumu Nr. 15/2013</w:t>
      </w:r>
      <w:r w:rsidR="00960ADC">
        <w:rPr>
          <w:b/>
          <w:bCs/>
        </w:rPr>
        <w:t xml:space="preserve"> </w:t>
      </w:r>
      <w:r>
        <w:rPr>
          <w:b/>
          <w:bCs/>
        </w:rPr>
        <w:t>“Rakšanas darbu veikšanas kārtība Alūksnes novada teritorijā” at</w:t>
      </w:r>
      <w:r w:rsidR="002740D9">
        <w:rPr>
          <w:b/>
          <w:bCs/>
        </w:rPr>
        <w:t>zīšanu par spēku zaudējušiem</w:t>
      </w:r>
      <w:r>
        <w:rPr>
          <w:b/>
          <w:bCs/>
        </w:rPr>
        <w:t>”</w:t>
      </w:r>
      <w:r w:rsidR="00960ADC">
        <w:rPr>
          <w:b/>
          <w:bCs/>
        </w:rPr>
        <w:t xml:space="preserve"> </w:t>
      </w:r>
      <w:r>
        <w:rPr>
          <w:b/>
          <w:bCs/>
        </w:rPr>
        <w:t>izdošanu</w:t>
      </w:r>
    </w:p>
    <w:p w14:paraId="543C5C78" w14:textId="2AB4578A" w:rsidR="00332B8C" w:rsidRDefault="00332B8C" w:rsidP="00960ADC">
      <w:pPr>
        <w:spacing w:after="0" w:line="240" w:lineRule="auto"/>
        <w:jc w:val="center"/>
        <w:rPr>
          <w:b/>
          <w:bCs/>
        </w:rPr>
      </w:pPr>
    </w:p>
    <w:p w14:paraId="638F0AD8" w14:textId="560F304B" w:rsidR="00332B8C" w:rsidRDefault="00332B8C" w:rsidP="00305C7F">
      <w:pPr>
        <w:spacing w:after="0" w:line="240" w:lineRule="auto"/>
        <w:ind w:firstLine="284"/>
        <w:jc w:val="both"/>
      </w:pPr>
      <w:r>
        <w:t xml:space="preserve">Pamatojoties uz </w:t>
      </w:r>
      <w:r w:rsidR="00305C7F">
        <w:t>Pašvaldību likuma Pārejas noteikumu 6.</w:t>
      </w:r>
      <w:r w:rsidR="009F53B1">
        <w:t> </w:t>
      </w:r>
      <w:r w:rsidR="00305C7F">
        <w:t>punktu,</w:t>
      </w:r>
    </w:p>
    <w:p w14:paraId="2063F6EA" w14:textId="3604312C" w:rsidR="00305C7F" w:rsidRDefault="00305C7F" w:rsidP="00332B8C">
      <w:pPr>
        <w:spacing w:after="0" w:line="240" w:lineRule="auto"/>
        <w:jc w:val="both"/>
      </w:pPr>
    </w:p>
    <w:p w14:paraId="59DF275F" w14:textId="5DB4FD19" w:rsidR="00305C7F" w:rsidRDefault="008D7262" w:rsidP="00305C7F">
      <w:pPr>
        <w:spacing w:after="0" w:line="240" w:lineRule="auto"/>
        <w:ind w:firstLine="284"/>
        <w:jc w:val="both"/>
      </w:pPr>
      <w:r>
        <w:t>i</w:t>
      </w:r>
      <w:r w:rsidR="00305C7F">
        <w:t>zdot saistošos noteikumus Nr. __/202</w:t>
      </w:r>
      <w:r>
        <w:t>4</w:t>
      </w:r>
      <w:r w:rsidR="00305C7F">
        <w:t xml:space="preserve"> “Par Alūksnes novada pašvaldības domes 2013. gada 27. jūnija saistošo noteikumu Nr. 15/2013 “Rakšanas darbu veikšanas kārtība Alūksnes novada teritorijā” atzīšanu par spēku zaudējušiem”.</w:t>
      </w:r>
    </w:p>
    <w:p w14:paraId="313F9E30" w14:textId="77777777" w:rsidR="00E30924" w:rsidRDefault="00E30924" w:rsidP="00404A77">
      <w:pPr>
        <w:spacing w:after="0" w:line="240" w:lineRule="auto"/>
        <w:jc w:val="right"/>
      </w:pPr>
    </w:p>
    <w:p w14:paraId="6F35E45F" w14:textId="4FC41AA9" w:rsidR="00404A77" w:rsidRDefault="00404A77" w:rsidP="00404A77">
      <w:pPr>
        <w:spacing w:after="0" w:line="240" w:lineRule="auto"/>
        <w:jc w:val="right"/>
      </w:pPr>
      <w:r>
        <w:t>Saistošo noteikumu projekts</w:t>
      </w:r>
    </w:p>
    <w:p w14:paraId="00D1ECFD" w14:textId="107D683A" w:rsidR="00404A77" w:rsidRDefault="00404A77" w:rsidP="00404A77">
      <w:pPr>
        <w:spacing w:after="0" w:line="240" w:lineRule="auto"/>
        <w:jc w:val="right"/>
      </w:pPr>
    </w:p>
    <w:p w14:paraId="36142308" w14:textId="0075431E" w:rsidR="00404A77" w:rsidRDefault="00404A77" w:rsidP="00404A77">
      <w:pPr>
        <w:spacing w:after="0" w:line="240" w:lineRule="auto"/>
        <w:jc w:val="right"/>
      </w:pPr>
      <w:r>
        <w:t>Alūksnes novada pašvaldības domes saistošie noteikumi Nr. __/2024</w:t>
      </w:r>
    </w:p>
    <w:p w14:paraId="2D9C942A" w14:textId="6AECE6EC" w:rsidR="00404A77" w:rsidRDefault="00404A77" w:rsidP="00404A77">
      <w:pPr>
        <w:spacing w:after="0" w:line="240" w:lineRule="auto"/>
        <w:jc w:val="right"/>
      </w:pPr>
    </w:p>
    <w:p w14:paraId="1D63E502" w14:textId="649AFB5E" w:rsidR="00404A77" w:rsidRDefault="00404A77" w:rsidP="00404A77">
      <w:pPr>
        <w:spacing w:after="0" w:line="240" w:lineRule="auto"/>
        <w:jc w:val="center"/>
        <w:rPr>
          <w:b/>
          <w:bCs/>
        </w:rPr>
      </w:pPr>
      <w:r>
        <w:rPr>
          <w:b/>
          <w:bCs/>
        </w:rPr>
        <w:t>Par Alūksnes novada pašvaldības domes 2013. gada 27. jūnija saistošo noteikumu Nr. 15/2013 “Rakšanas darbu veikšanas kārtība Alūksnes novada teritorijā” atzīšanu par spēku zaudējušiem</w:t>
      </w:r>
    </w:p>
    <w:p w14:paraId="28AA244F" w14:textId="01A1FCCF" w:rsidR="00404A77" w:rsidRDefault="00404A77" w:rsidP="00404A77">
      <w:pPr>
        <w:spacing w:after="0" w:line="240" w:lineRule="auto"/>
        <w:jc w:val="center"/>
        <w:rPr>
          <w:b/>
          <w:bCs/>
        </w:rPr>
      </w:pPr>
    </w:p>
    <w:p w14:paraId="2CEBFC24" w14:textId="77777777" w:rsidR="00D75538" w:rsidRDefault="00D75538" w:rsidP="00D75538">
      <w:pPr>
        <w:spacing w:after="0" w:line="240" w:lineRule="auto"/>
        <w:jc w:val="right"/>
        <w:rPr>
          <w:i/>
          <w:iCs/>
        </w:rPr>
      </w:pPr>
      <w:r w:rsidRPr="00D75538">
        <w:rPr>
          <w:i/>
          <w:iCs/>
        </w:rPr>
        <w:t>Izdoti</w:t>
      </w:r>
      <w:r>
        <w:rPr>
          <w:i/>
          <w:iCs/>
        </w:rPr>
        <w:t xml:space="preserve"> saskaņā ar Pašvaldību likuma Pārejas noteikumu 6. punktu</w:t>
      </w:r>
    </w:p>
    <w:p w14:paraId="3E6C43ED" w14:textId="53ACF2D0" w:rsidR="00D75538" w:rsidRPr="00D75538" w:rsidRDefault="00D75538" w:rsidP="00D75538">
      <w:pPr>
        <w:spacing w:after="0" w:line="240" w:lineRule="auto"/>
        <w:jc w:val="right"/>
        <w:rPr>
          <w:i/>
          <w:iCs/>
        </w:rPr>
      </w:pPr>
      <w:r>
        <w:rPr>
          <w:i/>
          <w:iCs/>
        </w:rPr>
        <w:t xml:space="preserve"> </w:t>
      </w:r>
      <w:r w:rsidRPr="00D75538">
        <w:rPr>
          <w:i/>
          <w:iCs/>
        </w:rPr>
        <w:t xml:space="preserve"> </w:t>
      </w:r>
    </w:p>
    <w:p w14:paraId="019208C2" w14:textId="228D0A1D" w:rsidR="00404A77" w:rsidRDefault="00404A77" w:rsidP="00404A77">
      <w:pPr>
        <w:spacing w:after="0" w:line="240" w:lineRule="auto"/>
        <w:ind w:firstLine="284"/>
        <w:jc w:val="both"/>
      </w:pPr>
      <w:r>
        <w:t>Atzīt par spēku zaudējušiem Alūksnes novada pašvaldības domes 2013. gada 27. jūnija saistošos noteikumus Nr. 15/2013 “Rakšanas darbu veikšanas kārtība Alūksnes novada teritorijā”.</w:t>
      </w:r>
    </w:p>
    <w:p w14:paraId="17C9BF06" w14:textId="31B1FD68" w:rsidR="00404A77" w:rsidRDefault="00404A77" w:rsidP="00404A77">
      <w:pPr>
        <w:spacing w:after="0" w:line="240" w:lineRule="auto"/>
        <w:jc w:val="both"/>
      </w:pPr>
    </w:p>
    <w:p w14:paraId="1453496A" w14:textId="39184D97" w:rsidR="00404A77" w:rsidRDefault="00404A77" w:rsidP="00404A77">
      <w:pPr>
        <w:spacing w:after="0" w:line="240" w:lineRule="auto"/>
        <w:jc w:val="both"/>
      </w:pPr>
    </w:p>
    <w:p w14:paraId="444CBCD2" w14:textId="6B421483" w:rsidR="00D47916" w:rsidRDefault="00D47916" w:rsidP="00E30924">
      <w:pPr>
        <w:spacing w:after="0" w:line="240" w:lineRule="auto"/>
        <w:jc w:val="center"/>
        <w:rPr>
          <w:b/>
          <w:bCs/>
        </w:rPr>
      </w:pPr>
      <w:r>
        <w:rPr>
          <w:b/>
          <w:bCs/>
        </w:rPr>
        <w:t>Alūksnes novada pašvaldības domes saistošo noteikumu Nr. __/2024</w:t>
      </w:r>
    </w:p>
    <w:p w14:paraId="3C2AE6AE" w14:textId="2BCFDC70" w:rsidR="00D47916" w:rsidRDefault="00D47916" w:rsidP="00E30924">
      <w:pPr>
        <w:spacing w:after="0" w:line="240" w:lineRule="auto"/>
        <w:ind w:right="142"/>
        <w:jc w:val="center"/>
        <w:rPr>
          <w:b/>
          <w:bCs/>
        </w:rPr>
      </w:pPr>
      <w:r>
        <w:rPr>
          <w:b/>
          <w:bCs/>
        </w:rPr>
        <w:t>“Par Alūksnes novada pašvaldības domes 2013. gada 27. jūnija saistošo noteikumu Nr. 15/2013 “Rakšanas darbu veikšanas kārtība Alūksnes novada teritorijā” atzīšanu par spēku zaudējušiem”</w:t>
      </w:r>
    </w:p>
    <w:p w14:paraId="604880F6" w14:textId="6B8C7167" w:rsidR="00D47916" w:rsidRPr="00D47916" w:rsidRDefault="00D47916" w:rsidP="00E30924">
      <w:pPr>
        <w:spacing w:after="0" w:line="240" w:lineRule="auto"/>
        <w:jc w:val="center"/>
        <w:rPr>
          <w:b/>
          <w:bCs/>
        </w:rPr>
      </w:pPr>
      <w:r>
        <w:rPr>
          <w:b/>
          <w:bCs/>
        </w:rPr>
        <w:t>paskaidrojuma raksts</w:t>
      </w:r>
    </w:p>
    <w:p w14:paraId="412B66EC" w14:textId="77777777" w:rsidR="00D47916" w:rsidRPr="00404A77" w:rsidRDefault="00D47916" w:rsidP="00404A77">
      <w:pPr>
        <w:spacing w:after="0" w:line="240" w:lineRule="auto"/>
        <w:jc w:val="both"/>
      </w:pPr>
    </w:p>
    <w:tbl>
      <w:tblPr>
        <w:tblW w:w="921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7"/>
        <w:gridCol w:w="6237"/>
      </w:tblGrid>
      <w:tr w:rsidR="00D47916" w:rsidRPr="001943D9" w14:paraId="08F790D8" w14:textId="77777777" w:rsidTr="005D22A2">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D1F396F" w14:textId="77777777" w:rsidR="00D47916" w:rsidRPr="001943D9" w:rsidRDefault="00D47916" w:rsidP="00F27836">
            <w:pPr>
              <w:spacing w:after="0" w:line="240" w:lineRule="auto"/>
              <w:ind w:right="39"/>
              <w:jc w:val="center"/>
              <w:textAlignment w:val="baseline"/>
              <w:rPr>
                <w:rFonts w:eastAsia="Times New Roman" w:cs="Times New Roman"/>
                <w:szCs w:val="24"/>
                <w:lang w:eastAsia="lv-LV"/>
              </w:rPr>
            </w:pPr>
            <w:r w:rsidRPr="001943D9">
              <w:rPr>
                <w:rFonts w:eastAsia="Times New Roman" w:cs="Times New Roman"/>
                <w:b/>
                <w:bCs/>
                <w:szCs w:val="24"/>
                <w:lang w:eastAsia="lv-LV"/>
              </w:rPr>
              <w:t>Paskaidrojuma raksta sadaļa</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11EB3FB4" w14:textId="77777777" w:rsidR="00D47916" w:rsidRPr="001943D9" w:rsidRDefault="00D47916" w:rsidP="00F27836">
            <w:pPr>
              <w:spacing w:after="0" w:line="240" w:lineRule="auto"/>
              <w:ind w:right="102"/>
              <w:jc w:val="center"/>
              <w:textAlignment w:val="baseline"/>
              <w:rPr>
                <w:rFonts w:eastAsia="Times New Roman" w:cs="Times New Roman"/>
                <w:b/>
                <w:bCs/>
                <w:szCs w:val="24"/>
                <w:lang w:eastAsia="lv-LV"/>
              </w:rPr>
            </w:pPr>
            <w:r w:rsidRPr="001943D9">
              <w:rPr>
                <w:rFonts w:eastAsia="Times New Roman" w:cs="Times New Roman"/>
                <w:b/>
                <w:bCs/>
                <w:szCs w:val="24"/>
                <w:lang w:eastAsia="lv-LV"/>
              </w:rPr>
              <w:t>Norādāmā informācija </w:t>
            </w:r>
          </w:p>
        </w:tc>
      </w:tr>
      <w:tr w:rsidR="00D47916" w:rsidRPr="001943D9" w14:paraId="1E3E04D0" w14:textId="77777777" w:rsidTr="005D22A2">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C7C67A4" w14:textId="77777777" w:rsidR="00D47916" w:rsidRPr="001943D9" w:rsidRDefault="00D47916" w:rsidP="00D47916">
            <w:pPr>
              <w:widowControl w:val="0"/>
              <w:numPr>
                <w:ilvl w:val="0"/>
                <w:numId w:val="1"/>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Mērķis un nepieciešamības pamatojums: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BA0C8C1" w14:textId="2DCDD4AE" w:rsidR="00D47916" w:rsidRPr="00D47916" w:rsidRDefault="00D47916" w:rsidP="005D22A2">
            <w:pPr>
              <w:widowControl w:val="0"/>
              <w:numPr>
                <w:ilvl w:val="0"/>
                <w:numId w:val="9"/>
              </w:numPr>
              <w:spacing w:after="0" w:line="240" w:lineRule="auto"/>
              <w:ind w:left="412" w:right="85" w:hanging="412"/>
              <w:jc w:val="both"/>
              <w:textAlignment w:val="baseline"/>
              <w:rPr>
                <w:rFonts w:eastAsia="Times New Roman" w:cs="Times New Roman"/>
                <w:szCs w:val="24"/>
                <w:lang w:eastAsia="lv-LV"/>
              </w:rPr>
            </w:pPr>
            <w:r w:rsidRPr="00D47916">
              <w:rPr>
                <w:rFonts w:eastAsia="Times New Roman" w:cs="Times New Roman"/>
                <w:szCs w:val="24"/>
                <w:lang w:eastAsia="lv-LV"/>
              </w:rPr>
              <w:t xml:space="preserve">šo saistošo noteikumu izdošanas mērķis ir atzīt par spēku zaudējušiem </w:t>
            </w:r>
            <w:r w:rsidRPr="00D47916">
              <w:rPr>
                <w:rFonts w:cs="Times New Roman"/>
                <w:szCs w:val="24"/>
              </w:rPr>
              <w:t>Alūksnes novada pašvaldības domes 2013. gada 27. jūnija saistošos noteikumus Nr. 15/2013 “</w:t>
            </w:r>
            <w:r w:rsidRPr="00D47916">
              <w:t>Rakšanas darbu veikšanas kārtība Alūksnes novada teritorijā</w:t>
            </w:r>
            <w:r w:rsidRPr="00D47916">
              <w:rPr>
                <w:rFonts w:cs="Times New Roman"/>
                <w:szCs w:val="24"/>
              </w:rPr>
              <w:t>”</w:t>
            </w:r>
            <w:r>
              <w:rPr>
                <w:rFonts w:cs="Times New Roman"/>
                <w:szCs w:val="24"/>
              </w:rPr>
              <w:t>, kas izdoti pamatojoties uz likuma “Par pašvaldībām” (zaudējis spēku 01.01.2023.) 43. panta pirmās daļas 9. un 11. punktu</w:t>
            </w:r>
            <w:r w:rsidRPr="00D47916">
              <w:rPr>
                <w:rFonts w:cs="Times New Roman"/>
                <w:szCs w:val="24"/>
              </w:rPr>
              <w:t>;</w:t>
            </w:r>
          </w:p>
          <w:p w14:paraId="15874581" w14:textId="77777777" w:rsidR="00D3503C" w:rsidRDefault="00D47916" w:rsidP="00D3503C">
            <w:pPr>
              <w:widowControl w:val="0"/>
              <w:numPr>
                <w:ilvl w:val="0"/>
                <w:numId w:val="9"/>
              </w:numPr>
              <w:spacing w:after="0" w:line="240" w:lineRule="auto"/>
              <w:ind w:left="412" w:right="102" w:hanging="412"/>
              <w:jc w:val="both"/>
              <w:textAlignment w:val="baseline"/>
              <w:rPr>
                <w:rFonts w:eastAsia="Times New Roman" w:cs="Times New Roman"/>
                <w:szCs w:val="24"/>
                <w:lang w:eastAsia="lv-LV"/>
              </w:rPr>
            </w:pPr>
            <w:r w:rsidRPr="00D47916">
              <w:rPr>
                <w:rFonts w:eastAsia="Times New Roman" w:cs="Times New Roman"/>
                <w:szCs w:val="24"/>
                <w:lang w:eastAsia="lv-LV"/>
              </w:rPr>
              <w:t>saistošo noteikumu izdošanas tiesiskais pamats ir Pašvaldību likum</w:t>
            </w:r>
            <w:r>
              <w:rPr>
                <w:rFonts w:eastAsia="Times New Roman" w:cs="Times New Roman"/>
                <w:szCs w:val="24"/>
                <w:lang w:eastAsia="lv-LV"/>
              </w:rPr>
              <w:t>a</w:t>
            </w:r>
            <w:r w:rsidRPr="00D47916">
              <w:rPr>
                <w:rFonts w:eastAsia="Times New Roman" w:cs="Times New Roman"/>
                <w:szCs w:val="24"/>
                <w:lang w:eastAsia="lv-LV"/>
              </w:rPr>
              <w:t xml:space="preserve"> (spēkā no 01.01.2023.)</w:t>
            </w:r>
            <w:r>
              <w:rPr>
                <w:rFonts w:eastAsia="Times New Roman" w:cs="Times New Roman"/>
                <w:szCs w:val="24"/>
                <w:lang w:eastAsia="lv-LV"/>
              </w:rPr>
              <w:t xml:space="preserve"> </w:t>
            </w:r>
            <w:r w:rsidRPr="00D47916">
              <w:rPr>
                <w:rFonts w:eastAsia="Times New Roman" w:cs="Times New Roman"/>
                <w:szCs w:val="24"/>
                <w:lang w:eastAsia="lv-LV"/>
              </w:rPr>
              <w:t>Pārejas noteikumu 6. punkt</w:t>
            </w:r>
            <w:r>
              <w:rPr>
                <w:rFonts w:eastAsia="Times New Roman" w:cs="Times New Roman"/>
                <w:szCs w:val="24"/>
                <w:lang w:eastAsia="lv-LV"/>
              </w:rPr>
              <w:t>s, kas nosaka</w:t>
            </w:r>
            <w:r w:rsidRPr="00D47916">
              <w:rPr>
                <w:rFonts w:eastAsia="Times New Roman" w:cs="Times New Roman"/>
                <w:szCs w:val="24"/>
                <w:lang w:eastAsia="lv-LV"/>
              </w:rPr>
              <w:t>,</w:t>
            </w:r>
            <w:r>
              <w:rPr>
                <w:rFonts w:eastAsia="Times New Roman" w:cs="Times New Roman"/>
                <w:szCs w:val="24"/>
                <w:lang w:eastAsia="lv-LV"/>
              </w:rPr>
              <w:t xml:space="preserve"> ka</w:t>
            </w:r>
            <w:r w:rsidRPr="00D47916">
              <w:rPr>
                <w:rFonts w:eastAsia="Times New Roman" w:cs="Times New Roman"/>
                <w:szCs w:val="24"/>
                <w:lang w:eastAsia="lv-LV"/>
              </w:rPr>
              <w:t xml:space="preserve"> uz likuma “Par pašvaldībām” normu pamata iepriekš izdotie saistošie noteikumi atzīstami par spēku zaudējušiem</w:t>
            </w:r>
            <w:r>
              <w:rPr>
                <w:rFonts w:eastAsia="Times New Roman" w:cs="Times New Roman"/>
                <w:szCs w:val="24"/>
                <w:lang w:eastAsia="lv-LV"/>
              </w:rPr>
              <w:t>, vai izdodami jauni</w:t>
            </w:r>
            <w:r w:rsidR="0023004F">
              <w:rPr>
                <w:rFonts w:eastAsia="Times New Roman" w:cs="Times New Roman"/>
                <w:szCs w:val="24"/>
                <w:lang w:eastAsia="lv-LV"/>
              </w:rPr>
              <w:t>;</w:t>
            </w:r>
          </w:p>
          <w:p w14:paraId="16B35738" w14:textId="6F1F3A0B" w:rsidR="00D3503C" w:rsidRPr="00D3503C" w:rsidRDefault="00D3503C" w:rsidP="00D3503C">
            <w:pPr>
              <w:widowControl w:val="0"/>
              <w:numPr>
                <w:ilvl w:val="0"/>
                <w:numId w:val="9"/>
              </w:numPr>
              <w:spacing w:after="0" w:line="240" w:lineRule="auto"/>
              <w:ind w:left="412" w:right="102" w:hanging="412"/>
              <w:jc w:val="both"/>
              <w:textAlignment w:val="baseline"/>
              <w:rPr>
                <w:rFonts w:eastAsia="Times New Roman" w:cs="Times New Roman"/>
                <w:szCs w:val="24"/>
                <w:lang w:eastAsia="lv-LV"/>
              </w:rPr>
            </w:pPr>
            <w:r>
              <w:rPr>
                <w:rFonts w:eastAsia="Times New Roman" w:cs="Times New Roman"/>
                <w:szCs w:val="24"/>
                <w:lang w:eastAsia="lv-LV"/>
              </w:rPr>
              <w:t>p</w:t>
            </w:r>
            <w:r w:rsidRPr="00D3503C">
              <w:rPr>
                <w:rFonts w:eastAsia="Times New Roman" w:cs="Times New Roman"/>
                <w:szCs w:val="24"/>
                <w:lang w:eastAsia="lv-LV"/>
              </w:rPr>
              <w:t>ar spēku zaudējušiem atzīstam</w:t>
            </w:r>
            <w:r>
              <w:rPr>
                <w:rFonts w:eastAsia="Times New Roman" w:cs="Times New Roman"/>
                <w:szCs w:val="24"/>
                <w:lang w:eastAsia="lv-LV"/>
              </w:rPr>
              <w:t>o</w:t>
            </w:r>
            <w:r w:rsidRPr="00D3503C">
              <w:rPr>
                <w:rFonts w:eastAsia="Times New Roman" w:cs="Times New Roman"/>
                <w:szCs w:val="24"/>
                <w:lang w:eastAsia="lv-LV"/>
              </w:rPr>
              <w:t xml:space="preserve"> saistošo noteikumu</w:t>
            </w:r>
            <w:r>
              <w:rPr>
                <w:rFonts w:eastAsia="Times New Roman" w:cs="Times New Roman"/>
                <w:szCs w:val="24"/>
                <w:lang w:eastAsia="lv-LV"/>
              </w:rPr>
              <w:t xml:space="preserve"> Nr.15/2013</w:t>
            </w:r>
            <w:r w:rsidRPr="00D3503C">
              <w:rPr>
                <w:rFonts w:eastAsia="Times New Roman" w:cs="Times New Roman"/>
                <w:szCs w:val="24"/>
                <w:lang w:eastAsia="lv-LV"/>
              </w:rPr>
              <w:t xml:space="preserve"> mērķis bija aizsargāt publisko infrastruktūru (ielas, ceļus, inženierkomunikācijas) no rakšanas darbu ietekmes.  Saistošie noteikumi paredzēja gadījumos, kad </w:t>
            </w:r>
            <w:r w:rsidRPr="00D3503C">
              <w:rPr>
                <w:rFonts w:eastAsia="Times New Roman" w:cs="Times New Roman"/>
                <w:szCs w:val="24"/>
                <w:lang w:eastAsia="lv-LV"/>
              </w:rPr>
              <w:lastRenderedPageBreak/>
              <w:t>nav nepieciešama būvniecības ieceres dokumentācija, saņemt rakšanas darbu atļauju pašvaldības iestādē “BŪVVALDE”, kā arī noteica, ka jauna asfaltbetona vai betona bruģa uzlaušana piecu gadu laikā pēc to izbūves, pieļaujama tikai ar pašvaldības izpilddirektora atļauju. Tāpat arī saistošie noteikumi paredzēja, ka galvenais inženierkomunikāciju izbūves paņēmiens, šķērsojot teritoriju ar cieto segumu ir slēgtais – ar caurduri, un noteica prasības publisko teritoriju atjaunošanai pēc rakšanas darbu pabeigšana</w:t>
            </w:r>
            <w:r>
              <w:rPr>
                <w:rFonts w:eastAsia="Times New Roman" w:cs="Times New Roman"/>
                <w:szCs w:val="24"/>
                <w:lang w:eastAsia="lv-LV"/>
              </w:rPr>
              <w:t>.</w:t>
            </w:r>
          </w:p>
          <w:p w14:paraId="278D84DF" w14:textId="77777777" w:rsidR="00145AD6" w:rsidRDefault="00D3503C" w:rsidP="00D3503C">
            <w:pPr>
              <w:widowControl w:val="0"/>
              <w:spacing w:after="0" w:line="240" w:lineRule="auto"/>
              <w:ind w:left="412" w:right="102"/>
              <w:jc w:val="both"/>
              <w:textAlignment w:val="baseline"/>
              <w:rPr>
                <w:rFonts w:cs="Times New Roman"/>
                <w:szCs w:val="24"/>
              </w:rPr>
            </w:pPr>
            <w:r>
              <w:rPr>
                <w:rFonts w:eastAsia="Times New Roman" w:cs="Times New Roman"/>
                <w:szCs w:val="24"/>
                <w:lang w:eastAsia="lv-LV"/>
              </w:rPr>
              <w:t>Publiskās infrastruktūras aizsargāšanas mērķa sasniegšana ir nodrošināma ar augstāka juridiskā spēka normatīvo regulējumu</w:t>
            </w:r>
            <w:r w:rsidR="00145AD6">
              <w:rPr>
                <w:rFonts w:eastAsia="Times New Roman" w:cs="Times New Roman"/>
                <w:szCs w:val="24"/>
                <w:lang w:eastAsia="lv-LV"/>
              </w:rPr>
              <w:t xml:space="preserve">, tādēļ </w:t>
            </w:r>
            <w:r w:rsidR="00145AD6">
              <w:rPr>
                <w:rFonts w:cs="Times New Roman"/>
                <w:szCs w:val="24"/>
              </w:rPr>
              <w:t>pašvaldības saistošo noteikumu aktualitāte ir zudusi un tie ir atzīstami par spēku zaudējušiem.</w:t>
            </w:r>
          </w:p>
          <w:p w14:paraId="12428D93" w14:textId="39E31041" w:rsidR="0023004F" w:rsidRPr="00D47916" w:rsidRDefault="00D3503C" w:rsidP="009A5B88">
            <w:pPr>
              <w:widowControl w:val="0"/>
              <w:spacing w:after="0" w:line="240" w:lineRule="auto"/>
              <w:ind w:left="412" w:right="102"/>
              <w:jc w:val="both"/>
              <w:textAlignment w:val="baseline"/>
              <w:rPr>
                <w:rFonts w:eastAsia="Times New Roman" w:cs="Times New Roman"/>
                <w:szCs w:val="24"/>
                <w:lang w:eastAsia="lv-LV"/>
              </w:rPr>
            </w:pPr>
            <w:r>
              <w:rPr>
                <w:rFonts w:eastAsia="Times New Roman" w:cs="Times New Roman"/>
                <w:szCs w:val="24"/>
                <w:lang w:eastAsia="lv-LV"/>
              </w:rPr>
              <w:t>Tā, piemēram, atbilstoši būvniecības jomu regulējošajam Būvniecības likumam un uz tā pamata izdotajiem Ministru kabineta noteikumiem, ja būvniecības iecere skar pašvaldības inženiertehniskās būves un būvniecības ierosinātājs nav pašvaldība, tad pašvaldība kā jebkurš inženierkomunikāciju un transporta infrastruktūras īpašnieks izdod tehniskos noteikumus, kuros nosaka tehniskās prasības būvdarbu procesam. Savukārt, Aizsargjoslu likums noteic aizsargjoslas gar transporta un komunikāciju līnijām un vispārīgos aprobežojumus aizsargjoslās, tostarp, pienākumu p</w:t>
            </w:r>
            <w:r w:rsidRPr="00D3503C">
              <w:rPr>
                <w:rFonts w:cs="Times New Roman"/>
                <w:szCs w:val="24"/>
                <w:shd w:val="clear" w:color="auto" w:fill="FFFFFF"/>
              </w:rPr>
              <w:t>ēc darbu veikšanas sakārto</w:t>
            </w:r>
            <w:r>
              <w:rPr>
                <w:rFonts w:cs="Times New Roman"/>
                <w:szCs w:val="24"/>
                <w:shd w:val="clear" w:color="auto" w:fill="FFFFFF"/>
              </w:rPr>
              <w:t>t</w:t>
            </w:r>
            <w:r w:rsidRPr="00D3503C">
              <w:rPr>
                <w:rFonts w:cs="Times New Roman"/>
                <w:szCs w:val="24"/>
                <w:shd w:val="clear" w:color="auto" w:fill="FFFFFF"/>
              </w:rPr>
              <w:t xml:space="preserve"> zemes platības, lai tās būtu derīgas izmantošanai paredzētajām vajadzībām, kā arī atlīdzin</w:t>
            </w:r>
            <w:r>
              <w:rPr>
                <w:rFonts w:cs="Times New Roman"/>
                <w:szCs w:val="24"/>
                <w:shd w:val="clear" w:color="auto" w:fill="FFFFFF"/>
              </w:rPr>
              <w:t>āt</w:t>
            </w:r>
            <w:r w:rsidRPr="00D3503C">
              <w:rPr>
                <w:rFonts w:cs="Times New Roman"/>
                <w:szCs w:val="24"/>
                <w:shd w:val="clear" w:color="auto" w:fill="FFFFFF"/>
              </w:rPr>
              <w:t xml:space="preserve"> zemes īpašniekam vai tiesiskajam valdītājam darbu izpildes gaitā nodarītos zaudējumus.</w:t>
            </w:r>
            <w:r w:rsidRPr="00D3503C">
              <w:rPr>
                <w:rFonts w:eastAsia="Times New Roman" w:cs="Times New Roman"/>
                <w:szCs w:val="24"/>
                <w:lang w:eastAsia="lv-LV"/>
              </w:rPr>
              <w:t xml:space="preserve"> </w:t>
            </w:r>
            <w:r>
              <w:rPr>
                <w:rFonts w:eastAsia="Times New Roman" w:cs="Times New Roman"/>
                <w:szCs w:val="24"/>
                <w:lang w:eastAsia="lv-LV"/>
              </w:rPr>
              <w:t>Papildu tam, aprobežojumus aizsargjoslās gar ielām (Ministru kabineta 2014.</w:t>
            </w:r>
            <w:r>
              <w:t xml:space="preserve">gada 14. oktobra noteikumu Nr. 628 “Noteikumi par pašvaldību teritorijas attīstības plānošanas dokumentiem” 32.4. apakšpunktā noteiktās kompetences ietvarā) pašvaldība ir iekļāvusi Teritorijas izmantošanas un apbūves noteikumos, tostarp, nosakot, ka izbūvējot jaunus inženiertīklus vai plānojot pieslēgumus jau esošajiem tīkliem, aizliegts uzlauzt jebkura veida jaunizbūvētu ielu segumu 5 gadu laikā kopš nodošanas ekspluatācijā, izņemot avāriju likvidācijas darbus un gadījumus, kas īpaši saskaņoti ar pašvaldību. Citos gadījumos pieslēgumi vai ielas šķērsojums jāveic ar </w:t>
            </w:r>
            <w:proofErr w:type="spellStart"/>
            <w:r>
              <w:t>caurdures</w:t>
            </w:r>
            <w:proofErr w:type="spellEnd"/>
            <w:r>
              <w:t xml:space="preserve"> metodi. </w:t>
            </w:r>
            <w:r>
              <w:rPr>
                <w:rFonts w:eastAsia="Times New Roman" w:cs="Times New Roman"/>
                <w:szCs w:val="24"/>
                <w:lang w:eastAsia="lv-LV"/>
              </w:rPr>
              <w:t xml:space="preserve"> </w:t>
            </w:r>
          </w:p>
        </w:tc>
      </w:tr>
      <w:tr w:rsidR="009F53B1" w:rsidRPr="009F53B1" w14:paraId="4BBC94D2" w14:textId="77777777" w:rsidTr="005D22A2">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4B732F" w14:textId="77777777" w:rsidR="00D47916" w:rsidRPr="009F53B1" w:rsidRDefault="00D47916" w:rsidP="00D47916">
            <w:pPr>
              <w:widowControl w:val="0"/>
              <w:numPr>
                <w:ilvl w:val="0"/>
                <w:numId w:val="2"/>
              </w:numPr>
              <w:spacing w:after="0" w:line="240" w:lineRule="auto"/>
              <w:ind w:left="392" w:right="39" w:hanging="284"/>
              <w:textAlignment w:val="baseline"/>
              <w:rPr>
                <w:rFonts w:eastAsia="Times New Roman" w:cs="Times New Roman"/>
                <w:color w:val="000000" w:themeColor="text1"/>
                <w:szCs w:val="24"/>
                <w:lang w:eastAsia="lv-LV"/>
              </w:rPr>
            </w:pPr>
            <w:r w:rsidRPr="009F53B1">
              <w:rPr>
                <w:rFonts w:eastAsia="Times New Roman" w:cs="Times New Roman"/>
                <w:color w:val="000000" w:themeColor="text1"/>
                <w:szCs w:val="24"/>
                <w:lang w:eastAsia="lv-LV"/>
              </w:rPr>
              <w:t>Fiskālā ietekme uz pašvaldības budžetu</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58EA0D4" w14:textId="11B93BAD" w:rsidR="00D47916" w:rsidRPr="009F53B1" w:rsidRDefault="00D47916" w:rsidP="00F27836">
            <w:pPr>
              <w:widowControl w:val="0"/>
              <w:spacing w:after="0" w:line="240" w:lineRule="auto"/>
              <w:ind w:right="102"/>
              <w:jc w:val="both"/>
              <w:textAlignment w:val="baseline"/>
              <w:rPr>
                <w:rFonts w:eastAsia="Times New Roman" w:cs="Times New Roman"/>
                <w:color w:val="000000" w:themeColor="text1"/>
                <w:szCs w:val="24"/>
                <w:lang w:eastAsia="lv-LV"/>
              </w:rPr>
            </w:pPr>
            <w:r w:rsidRPr="009F53B1">
              <w:rPr>
                <w:rFonts w:ascii="Arial" w:eastAsia="Times New Roman" w:hAnsi="Arial" w:cs="Arial"/>
                <w:color w:val="000000" w:themeColor="text1"/>
                <w:sz w:val="20"/>
                <w:szCs w:val="20"/>
                <w:lang w:eastAsia="lv-LV"/>
              </w:rPr>
              <w:t xml:space="preserve"> </w:t>
            </w:r>
            <w:r w:rsidR="009A5B88" w:rsidRPr="009F53B1">
              <w:rPr>
                <w:rFonts w:cs="Times New Roman"/>
                <w:color w:val="000000" w:themeColor="text1"/>
                <w:szCs w:val="24"/>
              </w:rPr>
              <w:t>2013. gada 27. jūnija saistošo noteikumu Nr. 15/2013 “</w:t>
            </w:r>
            <w:r w:rsidR="009A5B88" w:rsidRPr="009F53B1">
              <w:rPr>
                <w:color w:val="000000" w:themeColor="text1"/>
              </w:rPr>
              <w:t>Rakšanas darbu veikšanas kārtība Alūksnes novada teritorijā</w:t>
            </w:r>
            <w:r w:rsidR="009A5B88" w:rsidRPr="009F53B1">
              <w:rPr>
                <w:rFonts w:cs="Times New Roman"/>
                <w:color w:val="000000" w:themeColor="text1"/>
                <w:szCs w:val="24"/>
              </w:rPr>
              <w:t xml:space="preserve">” atzīšanai par spēku zaudējušiem </w:t>
            </w:r>
            <w:r w:rsidRPr="009F53B1">
              <w:rPr>
                <w:rFonts w:eastAsia="Times New Roman" w:cs="Times New Roman"/>
                <w:color w:val="000000" w:themeColor="text1"/>
                <w:szCs w:val="24"/>
                <w:lang w:eastAsia="lv-LV"/>
              </w:rPr>
              <w:t>nav</w:t>
            </w:r>
            <w:r w:rsidR="009A5B88" w:rsidRPr="009F53B1">
              <w:rPr>
                <w:rFonts w:eastAsia="Times New Roman" w:cs="Times New Roman"/>
                <w:color w:val="000000" w:themeColor="text1"/>
                <w:szCs w:val="24"/>
                <w:lang w:eastAsia="lv-LV"/>
              </w:rPr>
              <w:t xml:space="preserve"> fiskālās ietekmes uz pašvaldības budžetu, jo tie neparedzēja maksājumus pašvaldības budžetā.</w:t>
            </w:r>
          </w:p>
        </w:tc>
      </w:tr>
      <w:tr w:rsidR="00D47916" w:rsidRPr="001943D9" w14:paraId="1E3D4C21" w14:textId="77777777" w:rsidTr="005D22A2">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CA611C9" w14:textId="77777777" w:rsidR="00D47916" w:rsidRPr="001943D9" w:rsidRDefault="00D47916" w:rsidP="00D47916">
            <w:pPr>
              <w:widowControl w:val="0"/>
              <w:numPr>
                <w:ilvl w:val="0"/>
                <w:numId w:val="3"/>
              </w:numPr>
              <w:tabs>
                <w:tab w:val="clear" w:pos="720"/>
              </w:tabs>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 xml:space="preserve">Sociālā ietekme, ietekme uz vidi, iedzīvotāju veselību, uzņēmējdarbības vidi </w:t>
            </w:r>
            <w:r w:rsidRPr="001943D9">
              <w:rPr>
                <w:rFonts w:eastAsia="Times New Roman" w:cs="Times New Roman"/>
                <w:szCs w:val="24"/>
                <w:lang w:eastAsia="lv-LV"/>
              </w:rPr>
              <w:lastRenderedPageBreak/>
              <w:t>pašvaldības teritorijā, kā arī plānotā regulējuma ietekme uz konkurenci</w:t>
            </w:r>
            <w:r>
              <w:rPr>
                <w:rFonts w:eastAsia="Times New Roman" w:cs="Times New Roman"/>
                <w:szCs w:val="24"/>
                <w:lang w:eastAsia="lv-LV"/>
              </w:rPr>
              <w:t>.</w:t>
            </w:r>
            <w:r w:rsidRPr="001943D9">
              <w:rPr>
                <w:rFonts w:eastAsia="Times New Roman" w:cs="Times New Roman"/>
                <w:szCs w:val="24"/>
                <w:lang w:eastAsia="lv-LV"/>
              </w:rPr>
              <w:t>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05092A" w14:textId="2FF011EB" w:rsidR="00D47916" w:rsidRPr="00173FA7" w:rsidRDefault="009A5B88" w:rsidP="00F27836">
            <w:pPr>
              <w:widowControl w:val="0"/>
              <w:spacing w:after="0" w:line="240" w:lineRule="auto"/>
              <w:ind w:right="102"/>
              <w:contextualSpacing/>
              <w:jc w:val="both"/>
              <w:textAlignment w:val="baseline"/>
              <w:rPr>
                <w:rFonts w:eastAsia="Times New Roman" w:cs="Times New Roman"/>
                <w:b/>
                <w:bCs/>
                <w:szCs w:val="24"/>
                <w:lang w:eastAsia="lv-LV"/>
              </w:rPr>
            </w:pPr>
            <w:r>
              <w:rPr>
                <w:rFonts w:eastAsia="Calibri" w:cs="Times New Roman"/>
                <w:szCs w:val="24"/>
              </w:rPr>
              <w:lastRenderedPageBreak/>
              <w:t xml:space="preserve">Saistošo noteikumu izdošanai ar kuriem tie atzīti par spēku zaudējušiem </w:t>
            </w:r>
            <w:r w:rsidRPr="00D47916">
              <w:rPr>
                <w:rFonts w:cs="Times New Roman"/>
                <w:szCs w:val="24"/>
              </w:rPr>
              <w:t>2013. gada 27. jūnija saistoš</w:t>
            </w:r>
            <w:r>
              <w:rPr>
                <w:rFonts w:cs="Times New Roman"/>
                <w:szCs w:val="24"/>
              </w:rPr>
              <w:t>ie</w:t>
            </w:r>
            <w:r w:rsidRPr="00D47916">
              <w:rPr>
                <w:rFonts w:cs="Times New Roman"/>
                <w:szCs w:val="24"/>
              </w:rPr>
              <w:t xml:space="preserve"> noteikum</w:t>
            </w:r>
            <w:r>
              <w:rPr>
                <w:rFonts w:cs="Times New Roman"/>
                <w:szCs w:val="24"/>
              </w:rPr>
              <w:t>i</w:t>
            </w:r>
            <w:r w:rsidRPr="00D47916">
              <w:rPr>
                <w:rFonts w:cs="Times New Roman"/>
                <w:szCs w:val="24"/>
              </w:rPr>
              <w:t xml:space="preserve"> Nr. 15/2013 “</w:t>
            </w:r>
            <w:r w:rsidRPr="00D47916">
              <w:t>Rakšanas darbu veikšanas kārtība Alūksnes novada teritorijā</w:t>
            </w:r>
            <w:r w:rsidRPr="00D47916">
              <w:rPr>
                <w:rFonts w:cs="Times New Roman"/>
                <w:szCs w:val="24"/>
              </w:rPr>
              <w:t>”</w:t>
            </w:r>
            <w:r>
              <w:rPr>
                <w:rFonts w:cs="Times New Roman"/>
                <w:szCs w:val="24"/>
              </w:rPr>
              <w:t xml:space="preserve"> nav sociālās ietekmes, ietekmes uz vidi, </w:t>
            </w:r>
            <w:r>
              <w:rPr>
                <w:rFonts w:cs="Times New Roman"/>
                <w:szCs w:val="24"/>
              </w:rPr>
              <w:lastRenderedPageBreak/>
              <w:t>iedzīvotāju veselību vai uzņēmējdarbību pašvaldības teritorijā, jo publiskās infrastruktūras aizsardzību tās aizsargjoslās un būvdarbu kārtību regulē augstāka spēka normatīvie akti.</w:t>
            </w:r>
          </w:p>
        </w:tc>
      </w:tr>
      <w:tr w:rsidR="00D47916" w:rsidRPr="001943D9" w14:paraId="5FA184FB" w14:textId="77777777" w:rsidTr="005D22A2">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9E467C" w14:textId="77777777" w:rsidR="00D47916" w:rsidRPr="001943D9" w:rsidRDefault="00D47916" w:rsidP="00D47916">
            <w:pPr>
              <w:widowControl w:val="0"/>
              <w:numPr>
                <w:ilvl w:val="0"/>
                <w:numId w:val="4"/>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lastRenderedPageBreak/>
              <w:t>Ietekme uz administratīvajām procedūrām un to izmaksām</w:t>
            </w:r>
            <w:r>
              <w:rPr>
                <w:rFonts w:eastAsia="Times New Roman" w:cs="Times New Roman"/>
                <w:szCs w:val="24"/>
                <w:lang w:eastAsia="lv-LV"/>
              </w:rPr>
              <w:t>.</w:t>
            </w:r>
            <w:r w:rsidRPr="001943D9">
              <w:rPr>
                <w:rFonts w:eastAsia="Times New Roman" w:cs="Times New Roman"/>
                <w:szCs w:val="24"/>
                <w:lang w:eastAsia="lv-LV"/>
              </w:rPr>
              <w:t>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9DC4FF" w14:textId="77777777" w:rsidR="00477A34" w:rsidRDefault="00EA7512" w:rsidP="00F27836">
            <w:pPr>
              <w:widowControl w:val="0"/>
              <w:spacing w:after="0" w:line="240" w:lineRule="auto"/>
              <w:ind w:right="102"/>
              <w:jc w:val="both"/>
              <w:textAlignment w:val="baseline"/>
              <w:rPr>
                <w:rFonts w:eastAsia="Times New Roman" w:cs="Times New Roman"/>
                <w:szCs w:val="24"/>
                <w:lang w:eastAsia="lv-LV"/>
              </w:rPr>
            </w:pPr>
            <w:r>
              <w:rPr>
                <w:rFonts w:eastAsia="Times New Roman" w:cs="Times New Roman"/>
                <w:szCs w:val="24"/>
                <w:lang w:eastAsia="lv-LV"/>
              </w:rPr>
              <w:t xml:space="preserve"> </w:t>
            </w:r>
            <w:r w:rsidR="009A5B88">
              <w:rPr>
                <w:rFonts w:eastAsia="Times New Roman" w:cs="Times New Roman"/>
                <w:szCs w:val="24"/>
                <w:lang w:eastAsia="lv-LV"/>
              </w:rPr>
              <w:t>Ar saistošajiem noteikumiem tiek atcelts privātpersonas pienākums saņemt rakšanas darbu atļauju.</w:t>
            </w:r>
          </w:p>
          <w:p w14:paraId="4302DB3D" w14:textId="18A6F56A" w:rsidR="00031F9E" w:rsidRPr="001943D9" w:rsidRDefault="00031F9E" w:rsidP="00F27836">
            <w:pPr>
              <w:widowControl w:val="0"/>
              <w:spacing w:after="0" w:line="240" w:lineRule="auto"/>
              <w:ind w:right="102"/>
              <w:jc w:val="both"/>
              <w:textAlignment w:val="baseline"/>
              <w:rPr>
                <w:rFonts w:eastAsia="Times New Roman" w:cs="Times New Roman"/>
                <w:szCs w:val="24"/>
                <w:lang w:eastAsia="lv-LV"/>
              </w:rPr>
            </w:pPr>
            <w:r>
              <w:rPr>
                <w:rFonts w:eastAsia="Times New Roman" w:cs="Times New Roman"/>
                <w:szCs w:val="24"/>
                <w:lang w:eastAsia="lv-LV"/>
              </w:rPr>
              <w:t>Ietekmes uz privātpersonas izmaksām nav, jo atļaujas izsniegšana bija bezmaksas.</w:t>
            </w:r>
          </w:p>
        </w:tc>
      </w:tr>
      <w:tr w:rsidR="00D47916" w:rsidRPr="001943D9" w14:paraId="409776E8" w14:textId="77777777" w:rsidTr="005D22A2">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777882" w14:textId="77777777" w:rsidR="00D47916" w:rsidRPr="001943D9" w:rsidRDefault="00D47916" w:rsidP="00D47916">
            <w:pPr>
              <w:widowControl w:val="0"/>
              <w:numPr>
                <w:ilvl w:val="0"/>
                <w:numId w:val="5"/>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Ietekme uz pašvaldības funkcijām un cilvēkresursiem</w:t>
            </w:r>
            <w:r>
              <w:rPr>
                <w:rFonts w:eastAsia="Times New Roman" w:cs="Times New Roman"/>
                <w:szCs w:val="24"/>
                <w:lang w:eastAsia="lv-LV"/>
              </w:rPr>
              <w:t>.</w:t>
            </w:r>
            <w:r w:rsidRPr="001943D9">
              <w:rPr>
                <w:rFonts w:eastAsia="Times New Roman" w:cs="Times New Roman"/>
                <w:szCs w:val="24"/>
                <w:lang w:eastAsia="lv-LV"/>
              </w:rPr>
              <w:t>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56FF93" w14:textId="4C06557F" w:rsidR="00D47916" w:rsidRPr="001943D9" w:rsidRDefault="00031F9E" w:rsidP="00F27836">
            <w:pPr>
              <w:widowControl w:val="0"/>
              <w:spacing w:after="0" w:line="240" w:lineRule="auto"/>
              <w:ind w:right="102"/>
              <w:contextualSpacing/>
              <w:jc w:val="both"/>
              <w:textAlignment w:val="baseline"/>
              <w:rPr>
                <w:rFonts w:eastAsia="Times New Roman" w:cs="Times New Roman"/>
                <w:b/>
                <w:bCs/>
                <w:szCs w:val="24"/>
                <w:lang w:eastAsia="lv-LV"/>
              </w:rPr>
            </w:pPr>
            <w:r>
              <w:rPr>
                <w:rFonts w:eastAsia="Calibri" w:cs="Times New Roman"/>
                <w:szCs w:val="24"/>
              </w:rPr>
              <w:t xml:space="preserve">Saistošo noteikumu izdošanai ar kuriem tie atzīti par spēku zaudējušiem </w:t>
            </w:r>
            <w:r w:rsidRPr="00D47916">
              <w:rPr>
                <w:rFonts w:cs="Times New Roman"/>
                <w:szCs w:val="24"/>
              </w:rPr>
              <w:t>2013. gada 27. jūnija saistoš</w:t>
            </w:r>
            <w:r>
              <w:rPr>
                <w:rFonts w:cs="Times New Roman"/>
                <w:szCs w:val="24"/>
              </w:rPr>
              <w:t>ie</w:t>
            </w:r>
            <w:r w:rsidRPr="00D47916">
              <w:rPr>
                <w:rFonts w:cs="Times New Roman"/>
                <w:szCs w:val="24"/>
              </w:rPr>
              <w:t xml:space="preserve"> noteikum</w:t>
            </w:r>
            <w:r>
              <w:rPr>
                <w:rFonts w:cs="Times New Roman"/>
                <w:szCs w:val="24"/>
              </w:rPr>
              <w:t>i</w:t>
            </w:r>
            <w:r w:rsidRPr="00D47916">
              <w:rPr>
                <w:rFonts w:cs="Times New Roman"/>
                <w:szCs w:val="24"/>
              </w:rPr>
              <w:t xml:space="preserve"> Nr. 15/2013 “</w:t>
            </w:r>
            <w:r w:rsidRPr="00D47916">
              <w:t>Rakšanas darbu veikšanas kārtība Alūksnes novada teritorijā</w:t>
            </w:r>
            <w:r w:rsidRPr="00D47916">
              <w:rPr>
                <w:rFonts w:cs="Times New Roman"/>
                <w:szCs w:val="24"/>
              </w:rPr>
              <w:t>”</w:t>
            </w:r>
            <w:r>
              <w:rPr>
                <w:rFonts w:cs="Times New Roman"/>
                <w:szCs w:val="24"/>
              </w:rPr>
              <w:t xml:space="preserve"> nav ietekmes uz pašvaldības funkcijām un cilvēkresursiem, jo līdz šim iesaistītās pašvaldības turpinās uzraudzīt publiskās infrastruktūras aizsardzību saskaņā ar augstāka spēka normatīvo regulējumu.</w:t>
            </w:r>
          </w:p>
        </w:tc>
      </w:tr>
      <w:tr w:rsidR="00D47916" w:rsidRPr="001943D9" w14:paraId="147D7CB9" w14:textId="77777777" w:rsidTr="005D22A2">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B96738" w14:textId="77777777" w:rsidR="00D47916" w:rsidRPr="001943D9" w:rsidRDefault="00D47916" w:rsidP="00D47916">
            <w:pPr>
              <w:widowControl w:val="0"/>
              <w:numPr>
                <w:ilvl w:val="0"/>
                <w:numId w:val="6"/>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Informācija par izpildes nodrošināšanu</w:t>
            </w:r>
            <w:r>
              <w:rPr>
                <w:rFonts w:eastAsia="Times New Roman" w:cs="Times New Roman"/>
                <w:szCs w:val="24"/>
                <w:lang w:eastAsia="lv-LV"/>
              </w:rPr>
              <w:t>.</w:t>
            </w:r>
            <w:r w:rsidRPr="001943D9">
              <w:rPr>
                <w:rFonts w:eastAsia="Times New Roman" w:cs="Times New Roman"/>
                <w:szCs w:val="24"/>
                <w:lang w:eastAsia="lv-LV"/>
              </w:rPr>
              <w:t>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CB98705" w14:textId="77777777" w:rsidR="00D47916" w:rsidRPr="001943D9" w:rsidRDefault="00D47916" w:rsidP="00F27836">
            <w:pPr>
              <w:widowControl w:val="0"/>
              <w:spacing w:after="0" w:line="240" w:lineRule="auto"/>
              <w:ind w:right="102"/>
              <w:contextualSpacing/>
              <w:jc w:val="both"/>
              <w:textAlignment w:val="baseline"/>
              <w:rPr>
                <w:rFonts w:eastAsia="Times New Roman" w:cs="Times New Roman"/>
                <w:szCs w:val="24"/>
                <w:lang w:eastAsia="lv-LV"/>
              </w:rPr>
            </w:pPr>
            <w:r>
              <w:rPr>
                <w:rFonts w:eastAsia="Calibri" w:cs="Times New Roman"/>
                <w:szCs w:val="24"/>
              </w:rPr>
              <w:t>Nav attiecināms.</w:t>
            </w:r>
          </w:p>
        </w:tc>
      </w:tr>
      <w:tr w:rsidR="00D47916" w:rsidRPr="001943D9" w14:paraId="1DD9B6CF" w14:textId="77777777" w:rsidTr="005D22A2">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2677A3" w14:textId="77777777" w:rsidR="00D47916" w:rsidRPr="001943D9" w:rsidRDefault="00D47916" w:rsidP="00D47916">
            <w:pPr>
              <w:widowControl w:val="0"/>
              <w:numPr>
                <w:ilvl w:val="0"/>
                <w:numId w:val="7"/>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Prasību un izmaksu samērīgums pret ieguvumiem, ko sniedz mērķa sasniegšana</w:t>
            </w:r>
            <w:r>
              <w:rPr>
                <w:rFonts w:eastAsia="Times New Roman" w:cs="Times New Roman"/>
                <w:szCs w:val="24"/>
                <w:lang w:eastAsia="lv-LV"/>
              </w:rPr>
              <w:t>.</w:t>
            </w:r>
            <w:r w:rsidRPr="001943D9">
              <w:rPr>
                <w:rFonts w:eastAsia="Times New Roman" w:cs="Times New Roman"/>
                <w:szCs w:val="24"/>
                <w:lang w:eastAsia="lv-LV"/>
              </w:rPr>
              <w:t>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7C8650F" w14:textId="77777777" w:rsidR="00D47916" w:rsidRPr="001943D9" w:rsidRDefault="00D47916" w:rsidP="00F27836">
            <w:pPr>
              <w:widowControl w:val="0"/>
              <w:spacing w:after="0" w:line="240" w:lineRule="auto"/>
              <w:ind w:right="102"/>
              <w:jc w:val="both"/>
              <w:textAlignment w:val="baseline"/>
              <w:rPr>
                <w:rFonts w:eastAsia="Times New Roman" w:cs="Times New Roman"/>
                <w:szCs w:val="24"/>
                <w:lang w:eastAsia="lv-LV"/>
              </w:rPr>
            </w:pPr>
            <w:r>
              <w:rPr>
                <w:rFonts w:eastAsia="Calibri" w:cs="Times New Roman"/>
                <w:szCs w:val="24"/>
              </w:rPr>
              <w:t>Nav attiecināms.</w:t>
            </w:r>
          </w:p>
        </w:tc>
      </w:tr>
      <w:tr w:rsidR="00D47916" w:rsidRPr="001943D9" w14:paraId="426B7F2C" w14:textId="77777777" w:rsidTr="005D22A2">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46EC2E" w14:textId="77777777" w:rsidR="00D47916" w:rsidRPr="001943D9" w:rsidRDefault="00D47916" w:rsidP="00D47916">
            <w:pPr>
              <w:widowControl w:val="0"/>
              <w:numPr>
                <w:ilvl w:val="0"/>
                <w:numId w:val="8"/>
              </w:numPr>
              <w:spacing w:after="0" w:line="240" w:lineRule="auto"/>
              <w:ind w:left="392" w:right="39" w:hanging="284"/>
              <w:textAlignment w:val="baseline"/>
              <w:rPr>
                <w:rFonts w:eastAsia="Times New Roman" w:cs="Times New Roman"/>
                <w:szCs w:val="24"/>
                <w:lang w:eastAsia="lv-LV"/>
              </w:rPr>
            </w:pPr>
            <w:r w:rsidRPr="001943D9">
              <w:rPr>
                <w:rFonts w:eastAsia="Times New Roman" w:cs="Times New Roman"/>
                <w:szCs w:val="24"/>
                <w:lang w:eastAsia="lv-LV"/>
              </w:rPr>
              <w:t>Izstrādes gaitā veiktās konsultācijas ar privātpersonām un institūcijām</w:t>
            </w:r>
            <w:r>
              <w:rPr>
                <w:rFonts w:eastAsia="Times New Roman" w:cs="Times New Roman"/>
                <w:szCs w:val="24"/>
                <w:lang w:eastAsia="lv-LV"/>
              </w:rPr>
              <w:t>:</w:t>
            </w:r>
            <w:r w:rsidRPr="001943D9">
              <w:rPr>
                <w:rFonts w:eastAsia="Times New Roman" w:cs="Times New Roman"/>
                <w:szCs w:val="24"/>
                <w:lang w:eastAsia="lv-LV"/>
              </w:rPr>
              <w:t> </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DF7766" w14:textId="45BC2F44" w:rsidR="00D47916" w:rsidRPr="00B81C34" w:rsidRDefault="00D47916" w:rsidP="00D47916">
            <w:pPr>
              <w:pStyle w:val="Sarakstarindkopa"/>
              <w:numPr>
                <w:ilvl w:val="1"/>
                <w:numId w:val="10"/>
              </w:numPr>
              <w:spacing w:after="0" w:line="240" w:lineRule="auto"/>
              <w:jc w:val="both"/>
            </w:pPr>
            <w:r w:rsidRPr="00321667">
              <w:rPr>
                <w:rFonts w:eastAsia="Calibri" w:cs="Times New Roman"/>
                <w:color w:val="000000" w:themeColor="text1"/>
                <w:szCs w:val="24"/>
              </w:rPr>
              <w:t xml:space="preserve">atbilstoši Pašvaldību likuma 46. panta trešajai daļai </w:t>
            </w:r>
            <w:r>
              <w:t xml:space="preserve">saistošo noteikumu projekts un to paskaidrojuma raksts sabiedrības viedokļa noskaidrošanai no </w:t>
            </w:r>
            <w:r w:rsidR="005D22A2">
              <w:t xml:space="preserve">19.02.2024. </w:t>
            </w:r>
            <w:r>
              <w:t>līdz  </w:t>
            </w:r>
            <w:r w:rsidR="005D22A2">
              <w:t xml:space="preserve">04.03.2024. </w:t>
            </w:r>
            <w:r>
              <w:t xml:space="preserve">publicēts pašvaldības oficiālajā tīmekļvietnē </w:t>
            </w:r>
            <w:hyperlink r:id="rId6" w:history="1">
              <w:r>
                <w:rPr>
                  <w:rStyle w:val="Hipersaite"/>
                </w:rPr>
                <w:t>www.aluksne.lv</w:t>
              </w:r>
            </w:hyperlink>
            <w:r>
              <w:t xml:space="preserve"> </w:t>
            </w:r>
            <w:r w:rsidRPr="00CF08A9">
              <w:rPr>
                <w:color w:val="000000"/>
              </w:rPr>
              <w:t xml:space="preserve">sadaļā </w:t>
            </w:r>
            <w:r w:rsidRPr="00CF08A9">
              <w:rPr>
                <w:i/>
                <w:iCs/>
              </w:rPr>
              <w:t xml:space="preserve">Sabiedrība/Sabiedrības līdzdalība/Viedokļa izteikšana par saistošo noteikumu </w:t>
            </w:r>
            <w:r>
              <w:t>projektiem</w:t>
            </w:r>
            <w:r w:rsidRPr="00CF08A9">
              <w:rPr>
                <w:rFonts w:eastAsia="Calibri" w:cs="Times New Roman"/>
                <w:color w:val="000000" w:themeColor="text1"/>
                <w:szCs w:val="24"/>
              </w:rPr>
              <w:t>;</w:t>
            </w:r>
          </w:p>
          <w:p w14:paraId="6AF48A53" w14:textId="2103FEEB" w:rsidR="00D47916" w:rsidRPr="00321667" w:rsidRDefault="00D47916" w:rsidP="00D47916">
            <w:pPr>
              <w:pStyle w:val="Sarakstarindkopa"/>
              <w:numPr>
                <w:ilvl w:val="1"/>
                <w:numId w:val="10"/>
              </w:numPr>
              <w:spacing w:after="0" w:line="240" w:lineRule="auto"/>
              <w:jc w:val="both"/>
            </w:pPr>
            <w:r w:rsidRPr="00B81C34">
              <w:rPr>
                <w:rFonts w:eastAsia="Calibri" w:cs="Times New Roman"/>
                <w:color w:val="000000" w:themeColor="text1"/>
                <w:szCs w:val="24"/>
              </w:rPr>
              <w:t xml:space="preserve">viedokli var sniegt </w:t>
            </w:r>
            <w:r w:rsidRPr="00B81C34">
              <w:rPr>
                <w:rFonts w:eastAsia="Calibri" w:cs="Times New Roman"/>
                <w:color w:val="000000"/>
                <w:szCs w:val="24"/>
              </w:rPr>
              <w:t>nosūtot pašvaldībai kā elektronisku iesniegumu uz pašvaldības e-adresi, kā elektroniski parakstītu iesniegumu uz pašvaldības e-pasta adresi priekslikumi@aluksne.lv, nogādājot pašvaldībā pašrocīgi parakstītu iesniegumu vai aizpildot iesnieguma veidlapu</w:t>
            </w:r>
            <w:r w:rsidR="002F384B">
              <w:rPr>
                <w:rFonts w:eastAsia="Calibri" w:cs="Times New Roman"/>
                <w:color w:val="000000"/>
                <w:szCs w:val="24"/>
              </w:rPr>
              <w:t xml:space="preserve"> </w:t>
            </w:r>
            <w:r w:rsidRPr="00B81C34">
              <w:rPr>
                <w:rFonts w:eastAsia="Calibri" w:cs="Times New Roman"/>
                <w:color w:val="000000"/>
                <w:szCs w:val="24"/>
              </w:rPr>
              <w:t xml:space="preserve">(pieejama arī  </w:t>
            </w:r>
            <w:r w:rsidRPr="00B81C34">
              <w:rPr>
                <w:rFonts w:eastAsia="Calibri" w:cs="Times New Roman"/>
                <w:color w:val="000000" w:themeColor="text1"/>
                <w:szCs w:val="24"/>
              </w:rPr>
              <w:t xml:space="preserve">pašvaldības tīmekļvietnē sadaļā </w:t>
            </w:r>
            <w:r w:rsidRPr="00B81C34">
              <w:rPr>
                <w:rFonts w:eastAsia="Calibri" w:cs="Times New Roman"/>
                <w:i/>
                <w:iCs/>
                <w:color w:val="000000" w:themeColor="text1"/>
                <w:szCs w:val="24"/>
              </w:rPr>
              <w:t>Sabiedrība/Sabiedrības līdzdalība/</w:t>
            </w:r>
            <w:r w:rsidRPr="00B81C34">
              <w:rPr>
                <w:rFonts w:eastAsia="Calibri" w:cs="Times New Roman"/>
                <w:i/>
                <w:iCs/>
                <w:szCs w:val="24"/>
              </w:rPr>
              <w:t xml:space="preserve"> Viedokļa izteikšana par saistošo noteikumu projektiem</w:t>
            </w:r>
            <w:r w:rsidRPr="00B81C34">
              <w:rPr>
                <w:rFonts w:eastAsia="Calibri" w:cs="Times New Roman"/>
                <w:szCs w:val="24"/>
              </w:rPr>
              <w:t>)</w:t>
            </w:r>
            <w:r w:rsidRPr="00B81C34">
              <w:rPr>
                <w:rFonts w:eastAsia="Calibri" w:cs="Times New Roman"/>
                <w:color w:val="000000" w:themeColor="text1"/>
                <w:szCs w:val="24"/>
              </w:rPr>
              <w:t xml:space="preserve"> </w:t>
            </w:r>
            <w:r w:rsidRPr="00B81C34">
              <w:rPr>
                <w:rFonts w:eastAsia="Calibri" w:cs="Times New Roman"/>
                <w:color w:val="000000"/>
                <w:szCs w:val="24"/>
              </w:rPr>
              <w:t xml:space="preserve"> kādā no pašvaldības klientu apkalpošanas centriem.</w:t>
            </w:r>
            <w:r>
              <w:t xml:space="preserve"> </w:t>
            </w:r>
          </w:p>
        </w:tc>
      </w:tr>
      <w:tr w:rsidR="00D47916" w:rsidRPr="001943D9" w14:paraId="3395655C" w14:textId="77777777" w:rsidTr="005D22A2">
        <w:tc>
          <w:tcPr>
            <w:tcW w:w="297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30FA9FEA" w14:textId="77777777" w:rsidR="00D47916" w:rsidRPr="001943D9" w:rsidRDefault="00D47916" w:rsidP="00D47916">
            <w:pPr>
              <w:widowControl w:val="0"/>
              <w:numPr>
                <w:ilvl w:val="0"/>
                <w:numId w:val="8"/>
              </w:numPr>
              <w:spacing w:after="0" w:line="240" w:lineRule="auto"/>
              <w:ind w:left="392" w:right="39" w:hanging="284"/>
              <w:textAlignment w:val="baseline"/>
              <w:rPr>
                <w:rFonts w:eastAsia="Times New Roman" w:cs="Times New Roman"/>
                <w:szCs w:val="24"/>
                <w:lang w:eastAsia="lv-LV"/>
              </w:rPr>
            </w:pPr>
            <w:r w:rsidRPr="001943D9">
              <w:rPr>
                <w:rFonts w:eastAsia="Calibri" w:cs="Times New Roman"/>
                <w:color w:val="000000" w:themeColor="text1"/>
                <w:szCs w:val="24"/>
              </w:rPr>
              <w:t>Informācija par sabiedrības izteiktajiem viedokļiem par saistošo noteikumu projektu</w:t>
            </w:r>
          </w:p>
        </w:tc>
        <w:tc>
          <w:tcPr>
            <w:tcW w:w="623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9D5A130" w14:textId="2EB67DB5" w:rsidR="00D47916" w:rsidRPr="001943D9" w:rsidRDefault="005D22A2" w:rsidP="005D22A2">
            <w:pPr>
              <w:widowControl w:val="0"/>
              <w:spacing w:after="0" w:line="240" w:lineRule="auto"/>
              <w:ind w:firstLine="372"/>
              <w:jc w:val="both"/>
              <w:rPr>
                <w:rFonts w:eastAsia="Calibri" w:cs="Times New Roman"/>
                <w:color w:val="000000" w:themeColor="text1"/>
                <w:szCs w:val="24"/>
              </w:rPr>
            </w:pPr>
            <w:r w:rsidRPr="00FD211B">
              <w:rPr>
                <w:rFonts w:eastAsia="Calibri"/>
                <w:color w:val="000000" w:themeColor="text1"/>
                <w:szCs w:val="24"/>
              </w:rPr>
              <w:t>Sabiedrības viedoklis par saistošo noteikumu projektu un to paskaidrojuma rakstu nav saņemts.</w:t>
            </w:r>
          </w:p>
        </w:tc>
      </w:tr>
    </w:tbl>
    <w:p w14:paraId="78D66996" w14:textId="266D051B" w:rsidR="008D7262" w:rsidRPr="00305C7F" w:rsidRDefault="008D7262" w:rsidP="008D7262">
      <w:pPr>
        <w:spacing w:after="0" w:line="240" w:lineRule="auto"/>
        <w:jc w:val="both"/>
      </w:pPr>
      <w:r>
        <w:t xml:space="preserve"> </w:t>
      </w:r>
    </w:p>
    <w:p w14:paraId="28D665C1" w14:textId="440A5E9A" w:rsidR="00332B8C" w:rsidRDefault="00332B8C" w:rsidP="00960ADC">
      <w:pPr>
        <w:spacing w:after="0" w:line="240" w:lineRule="auto"/>
        <w:jc w:val="center"/>
        <w:rPr>
          <w:b/>
          <w:bCs/>
        </w:rPr>
      </w:pPr>
    </w:p>
    <w:p w14:paraId="5CDC0A58" w14:textId="77777777" w:rsidR="00332B8C" w:rsidRPr="00F933E8" w:rsidRDefault="00332B8C" w:rsidP="00332B8C">
      <w:pPr>
        <w:spacing w:after="0" w:line="240" w:lineRule="auto"/>
        <w:jc w:val="both"/>
        <w:rPr>
          <w:b/>
          <w:bCs/>
        </w:rPr>
      </w:pPr>
    </w:p>
    <w:sectPr w:rsidR="00332B8C" w:rsidRPr="00F933E8" w:rsidSect="005D22A2">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B0879F5"/>
    <w:multiLevelType w:val="multilevel"/>
    <w:tmpl w:val="121299C6"/>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BC57A0"/>
    <w:multiLevelType w:val="multilevel"/>
    <w:tmpl w:val="20DC050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072783"/>
    <w:multiLevelType w:val="multilevel"/>
    <w:tmpl w:val="F8C08D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7F451A"/>
    <w:multiLevelType w:val="multilevel"/>
    <w:tmpl w:val="8E480334"/>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283BD7"/>
    <w:multiLevelType w:val="multilevel"/>
    <w:tmpl w:val="75360C80"/>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1E0F6C"/>
    <w:multiLevelType w:val="multilevel"/>
    <w:tmpl w:val="303821E8"/>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7B67B6"/>
    <w:multiLevelType w:val="multilevel"/>
    <w:tmpl w:val="00808EE6"/>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8909D2"/>
    <w:multiLevelType w:val="multilevel"/>
    <w:tmpl w:val="9B6E356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8B00E9"/>
    <w:multiLevelType w:val="multilevel"/>
    <w:tmpl w:val="E730A25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050469">
    <w:abstractNumId w:val="2"/>
  </w:num>
  <w:num w:numId="2" w16cid:durableId="1344940756">
    <w:abstractNumId w:val="5"/>
  </w:num>
  <w:num w:numId="3" w16cid:durableId="1274677572">
    <w:abstractNumId w:val="4"/>
  </w:num>
  <w:num w:numId="4" w16cid:durableId="439954085">
    <w:abstractNumId w:val="7"/>
  </w:num>
  <w:num w:numId="5" w16cid:durableId="1077822723">
    <w:abstractNumId w:val="9"/>
  </w:num>
  <w:num w:numId="6" w16cid:durableId="884679901">
    <w:abstractNumId w:val="6"/>
  </w:num>
  <w:num w:numId="7" w16cid:durableId="2087337764">
    <w:abstractNumId w:val="1"/>
  </w:num>
  <w:num w:numId="8" w16cid:durableId="82990933">
    <w:abstractNumId w:val="8"/>
  </w:num>
  <w:num w:numId="9" w16cid:durableId="729813006">
    <w:abstractNumId w:val="0"/>
  </w:num>
  <w:num w:numId="10" w16cid:durableId="533617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AE"/>
    <w:rsid w:val="00031F9E"/>
    <w:rsid w:val="000C760E"/>
    <w:rsid w:val="001346A5"/>
    <w:rsid w:val="00135A66"/>
    <w:rsid w:val="00145AD6"/>
    <w:rsid w:val="001D0AC9"/>
    <w:rsid w:val="00226E5D"/>
    <w:rsid w:val="0023004F"/>
    <w:rsid w:val="00256135"/>
    <w:rsid w:val="002740D9"/>
    <w:rsid w:val="002F384B"/>
    <w:rsid w:val="00305C7F"/>
    <w:rsid w:val="00332B8C"/>
    <w:rsid w:val="00404A77"/>
    <w:rsid w:val="00477A34"/>
    <w:rsid w:val="004863A0"/>
    <w:rsid w:val="004960D5"/>
    <w:rsid w:val="005D22A2"/>
    <w:rsid w:val="005E48AE"/>
    <w:rsid w:val="008D7262"/>
    <w:rsid w:val="00934ADC"/>
    <w:rsid w:val="00960ADC"/>
    <w:rsid w:val="009A5B88"/>
    <w:rsid w:val="009F53B1"/>
    <w:rsid w:val="00AD199C"/>
    <w:rsid w:val="00CA2C07"/>
    <w:rsid w:val="00D3503C"/>
    <w:rsid w:val="00D47916"/>
    <w:rsid w:val="00D75538"/>
    <w:rsid w:val="00E30924"/>
    <w:rsid w:val="00EA7512"/>
    <w:rsid w:val="00EB6835"/>
    <w:rsid w:val="00EF6C3A"/>
    <w:rsid w:val="00F933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506A"/>
  <w15:chartTrackingRefBased/>
  <w15:docId w15:val="{6CB9BC1A-AB2D-4A24-A07E-504F6CA0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7916"/>
    <w:pPr>
      <w:ind w:left="720"/>
      <w:contextualSpacing/>
    </w:pPr>
  </w:style>
  <w:style w:type="character" w:styleId="Hipersaite">
    <w:name w:val="Hyperlink"/>
    <w:basedOn w:val="Noklusjumarindkopasfonts"/>
    <w:uiPriority w:val="99"/>
    <w:unhideWhenUsed/>
    <w:rsid w:val="00D47916"/>
    <w:rPr>
      <w:color w:val="0563C1" w:themeColor="hyperlink"/>
      <w:u w:val="single"/>
    </w:rPr>
  </w:style>
  <w:style w:type="paragraph" w:styleId="Prskatjums">
    <w:name w:val="Revision"/>
    <w:hidden/>
    <w:uiPriority w:val="99"/>
    <w:semiHidden/>
    <w:rsid w:val="00CA2C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uks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7CECE-72D7-4F03-AE07-66CB343E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4591</Words>
  <Characters>2617</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EGLE</dc:creator>
  <cp:keywords/>
  <dc:description/>
  <cp:lastModifiedBy>Everita BALANDE</cp:lastModifiedBy>
  <cp:revision>2</cp:revision>
  <dcterms:created xsi:type="dcterms:W3CDTF">2024-03-07T07:22:00Z</dcterms:created>
  <dcterms:modified xsi:type="dcterms:W3CDTF">2024-03-07T07:22:00Z</dcterms:modified>
</cp:coreProperties>
</file>