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0641" w14:textId="6BE2AD74" w:rsidR="00602DA0" w:rsidRPr="00165E14" w:rsidRDefault="000130D1" w:rsidP="00165E14">
      <w:pPr>
        <w:spacing w:after="0" w:line="240" w:lineRule="auto"/>
        <w:jc w:val="right"/>
        <w:rPr>
          <w:i/>
          <w:iCs/>
        </w:rPr>
      </w:pPr>
      <w:r w:rsidRPr="00165E14">
        <w:rPr>
          <w:i/>
          <w:iCs/>
        </w:rPr>
        <w:t xml:space="preserve">Lēmuma projekts </w:t>
      </w:r>
    </w:p>
    <w:p w14:paraId="7225265C" w14:textId="163D94EE" w:rsidR="000130D1" w:rsidRDefault="000130D1" w:rsidP="00165E14">
      <w:pPr>
        <w:spacing w:after="0" w:line="240" w:lineRule="auto"/>
      </w:pPr>
    </w:p>
    <w:p w14:paraId="624BD727" w14:textId="5A753828" w:rsidR="000130D1" w:rsidRPr="0035646D" w:rsidRDefault="000130D1" w:rsidP="00165E14">
      <w:pPr>
        <w:pStyle w:val="Parastais"/>
        <w:jc w:val="center"/>
        <w:rPr>
          <w:i/>
          <w:iCs/>
          <w:lang w:val="lv-LV"/>
        </w:rPr>
      </w:pPr>
      <w:r w:rsidRPr="00D26F82">
        <w:rPr>
          <w:b/>
          <w:bCs/>
          <w:lang w:val="lv-LV"/>
        </w:rPr>
        <w:t>Par saistošo noteikumu Nr.</w:t>
      </w:r>
      <w:r>
        <w:rPr>
          <w:b/>
          <w:bCs/>
          <w:lang w:val="lv-LV"/>
        </w:rPr>
        <w:t>_</w:t>
      </w:r>
      <w:r w:rsidRPr="00D26F82">
        <w:rPr>
          <w:b/>
          <w:bCs/>
          <w:lang w:val="lv-LV"/>
        </w:rPr>
        <w:t>/202</w:t>
      </w:r>
      <w:r>
        <w:rPr>
          <w:b/>
          <w:bCs/>
          <w:lang w:val="lv-LV"/>
        </w:rPr>
        <w:t>4</w:t>
      </w:r>
    </w:p>
    <w:p w14:paraId="1289E117" w14:textId="4FDB95CE" w:rsidR="000130D1" w:rsidRPr="00D26F82" w:rsidRDefault="000130D1" w:rsidP="00165E14">
      <w:pPr>
        <w:pStyle w:val="Parastais"/>
        <w:jc w:val="center"/>
        <w:rPr>
          <w:b/>
          <w:bCs/>
          <w:lang w:val="lv-LV"/>
        </w:rPr>
      </w:pPr>
      <w:r>
        <w:rPr>
          <w:b/>
          <w:bCs/>
          <w:lang w:val="lv-LV"/>
        </w:rPr>
        <w:t>“</w:t>
      </w:r>
      <w:r w:rsidRPr="00D26F82">
        <w:rPr>
          <w:b/>
          <w:bCs/>
          <w:lang w:val="lv-LV"/>
        </w:rPr>
        <w:t>Par grozījum</w:t>
      </w:r>
      <w:r>
        <w:rPr>
          <w:b/>
          <w:bCs/>
          <w:lang w:val="lv-LV"/>
        </w:rPr>
        <w:t>u</w:t>
      </w:r>
      <w:r w:rsidRPr="00D26F82">
        <w:rPr>
          <w:b/>
          <w:bCs/>
          <w:lang w:val="lv-LV"/>
        </w:rPr>
        <w:t xml:space="preserve"> Alūksnes novada </w:t>
      </w:r>
      <w:r>
        <w:rPr>
          <w:b/>
          <w:bCs/>
          <w:lang w:val="lv-LV"/>
        </w:rPr>
        <w:t xml:space="preserve">pašvaldības </w:t>
      </w:r>
      <w:r w:rsidRPr="00D26F82">
        <w:rPr>
          <w:b/>
          <w:bCs/>
          <w:lang w:val="lv-LV"/>
        </w:rPr>
        <w:t>domes 202</w:t>
      </w:r>
      <w:r>
        <w:rPr>
          <w:b/>
          <w:bCs/>
          <w:lang w:val="lv-LV"/>
        </w:rPr>
        <w:t>3</w:t>
      </w:r>
      <w:r w:rsidRPr="00D26F82">
        <w:rPr>
          <w:b/>
          <w:bCs/>
          <w:lang w:val="lv-LV"/>
        </w:rPr>
        <w:t>.</w:t>
      </w:r>
      <w:r w:rsidR="00165E14">
        <w:rPr>
          <w:b/>
          <w:bCs/>
          <w:lang w:val="lv-LV"/>
        </w:rPr>
        <w:t> </w:t>
      </w:r>
      <w:r w:rsidRPr="00D26F82">
        <w:rPr>
          <w:b/>
          <w:bCs/>
          <w:lang w:val="lv-LV"/>
        </w:rPr>
        <w:t xml:space="preserve">gada </w:t>
      </w:r>
      <w:r>
        <w:rPr>
          <w:b/>
          <w:bCs/>
          <w:lang w:val="lv-LV"/>
        </w:rPr>
        <w:t>27.</w:t>
      </w:r>
      <w:r w:rsidR="00165E14">
        <w:rPr>
          <w:b/>
          <w:bCs/>
          <w:lang w:val="lv-LV"/>
        </w:rPr>
        <w:t> </w:t>
      </w:r>
      <w:r>
        <w:rPr>
          <w:b/>
          <w:bCs/>
          <w:lang w:val="lv-LV"/>
        </w:rPr>
        <w:t>jūlija</w:t>
      </w:r>
      <w:r w:rsidRPr="00D26F82">
        <w:rPr>
          <w:b/>
          <w:bCs/>
          <w:lang w:val="lv-LV"/>
        </w:rPr>
        <w:t xml:space="preserve"> saistošajos noteikumos Nr.</w:t>
      </w:r>
      <w:r w:rsidR="00165E14">
        <w:rPr>
          <w:b/>
          <w:bCs/>
          <w:lang w:val="lv-LV"/>
        </w:rPr>
        <w:t> </w:t>
      </w:r>
      <w:r>
        <w:rPr>
          <w:b/>
          <w:bCs/>
          <w:lang w:val="lv-LV"/>
        </w:rPr>
        <w:t>19</w:t>
      </w:r>
      <w:r w:rsidRPr="00D26F82">
        <w:rPr>
          <w:b/>
          <w:bCs/>
          <w:lang w:val="lv-LV"/>
        </w:rPr>
        <w:t>/202</w:t>
      </w:r>
      <w:r>
        <w:rPr>
          <w:b/>
          <w:bCs/>
          <w:lang w:val="lv-LV"/>
        </w:rPr>
        <w:t>3</w:t>
      </w:r>
      <w:r w:rsidRPr="00D26F82">
        <w:rPr>
          <w:b/>
          <w:bCs/>
          <w:lang w:val="lv-LV"/>
        </w:rPr>
        <w:t xml:space="preserve"> “Par </w:t>
      </w:r>
      <w:r>
        <w:rPr>
          <w:b/>
          <w:bCs/>
          <w:lang w:val="lv-LV"/>
        </w:rPr>
        <w:t>ēdināšanas pakalpojuma maksas atvieglojumiem Alūksnes novada pašvaldības izglītības iestādēs”</w:t>
      </w:r>
      <w:r w:rsidRPr="00D26F82">
        <w:rPr>
          <w:b/>
          <w:bCs/>
          <w:lang w:val="lv-LV"/>
        </w:rPr>
        <w:t>” izdošanu</w:t>
      </w:r>
    </w:p>
    <w:p w14:paraId="1095D825" w14:textId="77777777" w:rsidR="000130D1" w:rsidRPr="00152086" w:rsidRDefault="000130D1" w:rsidP="00165E14">
      <w:pPr>
        <w:pStyle w:val="Parastais"/>
        <w:rPr>
          <w:lang w:val="lv-LV"/>
        </w:rPr>
      </w:pPr>
    </w:p>
    <w:p w14:paraId="5F91C2FB" w14:textId="02DD343E" w:rsidR="000130D1" w:rsidRPr="004C3305" w:rsidRDefault="000130D1" w:rsidP="00165E14">
      <w:pPr>
        <w:spacing w:after="0" w:line="240" w:lineRule="auto"/>
        <w:ind w:firstLine="720"/>
        <w:jc w:val="both"/>
        <w:rPr>
          <w:szCs w:val="24"/>
        </w:rPr>
      </w:pPr>
      <w:r w:rsidRPr="004C3305">
        <w:rPr>
          <w:szCs w:val="24"/>
        </w:rPr>
        <w:t xml:space="preserve">Pamatojoties uz </w:t>
      </w:r>
      <w:r>
        <w:rPr>
          <w:szCs w:val="24"/>
        </w:rPr>
        <w:t>Pašvaldību likuma 44.</w:t>
      </w:r>
      <w:r w:rsidR="00165E14">
        <w:rPr>
          <w:szCs w:val="24"/>
        </w:rPr>
        <w:t> </w:t>
      </w:r>
      <w:r>
        <w:rPr>
          <w:szCs w:val="24"/>
        </w:rPr>
        <w:t>panta otro daļu, Izglītības likuma 17.</w:t>
      </w:r>
      <w:r w:rsidR="00165E14">
        <w:rPr>
          <w:szCs w:val="24"/>
        </w:rPr>
        <w:t> </w:t>
      </w:r>
      <w:r>
        <w:rPr>
          <w:szCs w:val="24"/>
        </w:rPr>
        <w:t>panta trešās daļas 11.</w:t>
      </w:r>
      <w:r w:rsidR="00165E14">
        <w:rPr>
          <w:szCs w:val="24"/>
        </w:rPr>
        <w:t> </w:t>
      </w:r>
      <w:r>
        <w:rPr>
          <w:szCs w:val="24"/>
        </w:rPr>
        <w:t>punktu,</w:t>
      </w:r>
    </w:p>
    <w:p w14:paraId="75F1F238" w14:textId="77777777" w:rsidR="000130D1" w:rsidRPr="004C3305" w:rsidRDefault="000130D1" w:rsidP="00165E14">
      <w:pPr>
        <w:spacing w:after="0" w:line="240" w:lineRule="auto"/>
        <w:ind w:firstLine="720"/>
        <w:jc w:val="both"/>
        <w:rPr>
          <w:szCs w:val="24"/>
        </w:rPr>
      </w:pPr>
    </w:p>
    <w:p w14:paraId="5DE642C8" w14:textId="24A11E99" w:rsidR="000130D1" w:rsidRPr="000130D1" w:rsidRDefault="000130D1" w:rsidP="00165E14">
      <w:pPr>
        <w:spacing w:after="0" w:line="240" w:lineRule="auto"/>
        <w:ind w:firstLine="360"/>
        <w:jc w:val="both"/>
        <w:rPr>
          <w:szCs w:val="24"/>
        </w:rPr>
      </w:pPr>
      <w:r>
        <w:rPr>
          <w:szCs w:val="24"/>
        </w:rPr>
        <w:t xml:space="preserve">Izdot saistošos noteikumus Nr._/2024 </w:t>
      </w:r>
      <w:r>
        <w:rPr>
          <w:bCs/>
          <w:szCs w:val="24"/>
        </w:rPr>
        <w:t>“</w:t>
      </w:r>
      <w:r w:rsidRPr="000130D1">
        <w:t>Par grozījumu Alūksnes novada pašvaldības domes 2023.</w:t>
      </w:r>
      <w:r w:rsidR="00165E14">
        <w:t> </w:t>
      </w:r>
      <w:r w:rsidRPr="000130D1">
        <w:t>gada 27</w:t>
      </w:r>
      <w:r>
        <w:t>.</w:t>
      </w:r>
      <w:r w:rsidR="00165E14">
        <w:t> </w:t>
      </w:r>
      <w:r w:rsidRPr="000130D1">
        <w:t>jūlija saistošajos noteikumos Nr.</w:t>
      </w:r>
      <w:r w:rsidR="00165E14">
        <w:t> </w:t>
      </w:r>
      <w:r w:rsidRPr="000130D1">
        <w:t>19/2023 “Par ēdināšanas pakalpojuma maksas atvieglojumiem Alūksnes novada pašvaldības izglītības iestādēs</w:t>
      </w:r>
      <w:r w:rsidRPr="000130D1">
        <w:rPr>
          <w:szCs w:val="24"/>
        </w:rPr>
        <w:t>””</w:t>
      </w:r>
      <w:r w:rsidR="005B4665">
        <w:rPr>
          <w:szCs w:val="24"/>
        </w:rPr>
        <w:t xml:space="preserve"> un to paskaidrojuma rakstu</w:t>
      </w:r>
      <w:r w:rsidRPr="000130D1">
        <w:rPr>
          <w:szCs w:val="24"/>
        </w:rPr>
        <w:t>.</w:t>
      </w:r>
    </w:p>
    <w:p w14:paraId="659CD6FC" w14:textId="77777777" w:rsidR="000130D1" w:rsidRPr="004C3305" w:rsidRDefault="000130D1" w:rsidP="00165E14">
      <w:pPr>
        <w:pStyle w:val="Parastais"/>
        <w:ind w:firstLine="720"/>
        <w:jc w:val="both"/>
        <w:rPr>
          <w:lang w:val="lv-LV"/>
        </w:rPr>
      </w:pPr>
    </w:p>
    <w:p w14:paraId="4CF063B4" w14:textId="77777777" w:rsidR="000130D1" w:rsidRDefault="000130D1" w:rsidP="00165E14">
      <w:pPr>
        <w:pStyle w:val="Parastais"/>
        <w:jc w:val="both"/>
        <w:rPr>
          <w:bCs/>
          <w:lang w:val="lv-LV"/>
        </w:rPr>
      </w:pPr>
    </w:p>
    <w:p w14:paraId="5145CD99" w14:textId="268419DD" w:rsidR="000130D1" w:rsidRDefault="000130D1" w:rsidP="000130D1">
      <w:pPr>
        <w:pStyle w:val="Parastais"/>
        <w:jc w:val="right"/>
        <w:rPr>
          <w:i/>
          <w:iCs/>
          <w:lang w:val="lv-LV"/>
        </w:rPr>
      </w:pPr>
      <w:r w:rsidRPr="00D26F82">
        <w:rPr>
          <w:i/>
          <w:iCs/>
          <w:lang w:val="lv-LV"/>
        </w:rPr>
        <w:t>Saistošo noteikumu projekts</w:t>
      </w:r>
    </w:p>
    <w:p w14:paraId="7DED55FF" w14:textId="77777777" w:rsidR="000130D1" w:rsidRPr="00D26F82" w:rsidRDefault="000130D1" w:rsidP="000130D1">
      <w:pPr>
        <w:pStyle w:val="Parastais"/>
        <w:jc w:val="right"/>
        <w:rPr>
          <w:i/>
          <w:iCs/>
          <w:lang w:val="lv-LV"/>
        </w:rPr>
      </w:pPr>
      <w:r w:rsidRPr="00D26F82">
        <w:rPr>
          <w:i/>
          <w:iCs/>
          <w:lang w:val="lv-LV"/>
        </w:rPr>
        <w:tab/>
        <w:t xml:space="preserve"> </w:t>
      </w:r>
    </w:p>
    <w:p w14:paraId="6EAAB793" w14:textId="2306680F" w:rsidR="000130D1" w:rsidRDefault="000130D1" w:rsidP="00165E14">
      <w:pPr>
        <w:spacing w:after="0" w:line="240" w:lineRule="auto"/>
        <w:jc w:val="center"/>
        <w:rPr>
          <w:b/>
          <w:bCs/>
        </w:rPr>
      </w:pPr>
      <w:r w:rsidRPr="00D26F82">
        <w:rPr>
          <w:b/>
          <w:bCs/>
        </w:rPr>
        <w:t>Par grozījum</w:t>
      </w:r>
      <w:r>
        <w:rPr>
          <w:b/>
          <w:bCs/>
        </w:rPr>
        <w:t>u</w:t>
      </w:r>
      <w:r w:rsidRPr="00D26F82">
        <w:rPr>
          <w:b/>
          <w:bCs/>
        </w:rPr>
        <w:t xml:space="preserve"> </w:t>
      </w:r>
      <w:r w:rsidR="001338E8" w:rsidRPr="00D26F82">
        <w:rPr>
          <w:b/>
          <w:bCs/>
        </w:rPr>
        <w:t xml:space="preserve">Alūksnes novada </w:t>
      </w:r>
      <w:r w:rsidR="001338E8">
        <w:rPr>
          <w:b/>
          <w:bCs/>
        </w:rPr>
        <w:t xml:space="preserve">pašvaldības </w:t>
      </w:r>
      <w:r w:rsidR="001338E8" w:rsidRPr="00D26F82">
        <w:rPr>
          <w:b/>
          <w:bCs/>
        </w:rPr>
        <w:t>domes 202</w:t>
      </w:r>
      <w:r w:rsidR="001338E8">
        <w:rPr>
          <w:b/>
          <w:bCs/>
        </w:rPr>
        <w:t>3</w:t>
      </w:r>
      <w:r w:rsidR="001338E8" w:rsidRPr="00D26F82">
        <w:rPr>
          <w:b/>
          <w:bCs/>
        </w:rPr>
        <w:t>.</w:t>
      </w:r>
      <w:r w:rsidR="00165E14">
        <w:rPr>
          <w:b/>
          <w:bCs/>
        </w:rPr>
        <w:t> </w:t>
      </w:r>
      <w:r w:rsidR="001338E8" w:rsidRPr="00D26F82">
        <w:rPr>
          <w:b/>
          <w:bCs/>
        </w:rPr>
        <w:t xml:space="preserve">gada </w:t>
      </w:r>
      <w:r w:rsidR="001338E8">
        <w:rPr>
          <w:b/>
          <w:bCs/>
        </w:rPr>
        <w:t>27.</w:t>
      </w:r>
      <w:r w:rsidR="00165E14">
        <w:rPr>
          <w:b/>
          <w:bCs/>
        </w:rPr>
        <w:t> </w:t>
      </w:r>
      <w:r w:rsidR="001338E8">
        <w:rPr>
          <w:b/>
          <w:bCs/>
        </w:rPr>
        <w:t>jūlija</w:t>
      </w:r>
      <w:r w:rsidR="001338E8" w:rsidRPr="00D26F82">
        <w:rPr>
          <w:b/>
          <w:bCs/>
        </w:rPr>
        <w:t xml:space="preserve"> saistošajos noteikumos Nr.</w:t>
      </w:r>
      <w:r w:rsidR="00165E14">
        <w:rPr>
          <w:b/>
          <w:bCs/>
        </w:rPr>
        <w:t> </w:t>
      </w:r>
      <w:r w:rsidR="001338E8">
        <w:rPr>
          <w:b/>
          <w:bCs/>
        </w:rPr>
        <w:t>19</w:t>
      </w:r>
      <w:r w:rsidR="001338E8" w:rsidRPr="00D26F82">
        <w:rPr>
          <w:b/>
          <w:bCs/>
        </w:rPr>
        <w:t>/202</w:t>
      </w:r>
      <w:r w:rsidR="001338E8">
        <w:rPr>
          <w:b/>
          <w:bCs/>
        </w:rPr>
        <w:t>3</w:t>
      </w:r>
      <w:r w:rsidR="001338E8" w:rsidRPr="00D26F82">
        <w:rPr>
          <w:b/>
          <w:bCs/>
        </w:rPr>
        <w:t xml:space="preserve"> </w:t>
      </w:r>
      <w:r w:rsidRPr="00D26F82">
        <w:rPr>
          <w:b/>
          <w:bCs/>
        </w:rPr>
        <w:t xml:space="preserve">“Par </w:t>
      </w:r>
      <w:r>
        <w:rPr>
          <w:b/>
          <w:bCs/>
        </w:rPr>
        <w:t>ēdināšanas pakalpojuma maksas atvieglojumiem Alūksnes novada pašvaldības izglītības iestādēs”</w:t>
      </w:r>
    </w:p>
    <w:p w14:paraId="6DB424BD" w14:textId="77777777" w:rsidR="00165E14" w:rsidRPr="0035646D" w:rsidRDefault="00165E14" w:rsidP="00165E14">
      <w:pPr>
        <w:spacing w:after="0" w:line="240" w:lineRule="auto"/>
        <w:jc w:val="center"/>
        <w:rPr>
          <w:b/>
          <w:szCs w:val="24"/>
        </w:rPr>
      </w:pPr>
    </w:p>
    <w:p w14:paraId="66381638" w14:textId="7F78B84B" w:rsidR="000130D1" w:rsidRDefault="000130D1" w:rsidP="00165E14">
      <w:pPr>
        <w:spacing w:after="0" w:line="240" w:lineRule="auto"/>
        <w:ind w:firstLine="720"/>
        <w:jc w:val="right"/>
        <w:rPr>
          <w:i/>
          <w:szCs w:val="24"/>
        </w:rPr>
      </w:pPr>
      <w:r w:rsidRPr="00D26F82">
        <w:rPr>
          <w:i/>
          <w:szCs w:val="24"/>
        </w:rPr>
        <w:t>Izdoti saskaņā</w:t>
      </w:r>
      <w:r>
        <w:rPr>
          <w:i/>
          <w:szCs w:val="24"/>
        </w:rPr>
        <w:t xml:space="preserve"> </w:t>
      </w:r>
      <w:r w:rsidRPr="000130D1">
        <w:rPr>
          <w:i/>
          <w:szCs w:val="24"/>
        </w:rPr>
        <w:t>ar Pašvaldību likuma 44.</w:t>
      </w:r>
      <w:r w:rsidR="00165E14">
        <w:rPr>
          <w:i/>
          <w:szCs w:val="24"/>
        </w:rPr>
        <w:t> </w:t>
      </w:r>
      <w:r w:rsidRPr="000130D1">
        <w:rPr>
          <w:i/>
          <w:szCs w:val="24"/>
        </w:rPr>
        <w:t xml:space="preserve">panta otro daļu, </w:t>
      </w:r>
    </w:p>
    <w:p w14:paraId="26516B3B" w14:textId="0BD0F4FA" w:rsidR="000130D1" w:rsidRDefault="000130D1" w:rsidP="00165E14">
      <w:pPr>
        <w:spacing w:after="0" w:line="240" w:lineRule="auto"/>
        <w:ind w:firstLine="720"/>
        <w:jc w:val="right"/>
        <w:rPr>
          <w:i/>
          <w:szCs w:val="24"/>
        </w:rPr>
      </w:pPr>
      <w:r w:rsidRPr="000130D1">
        <w:rPr>
          <w:i/>
          <w:szCs w:val="24"/>
        </w:rPr>
        <w:t>Izglītības likuma 17.</w:t>
      </w:r>
      <w:r w:rsidR="00165E14">
        <w:rPr>
          <w:i/>
          <w:szCs w:val="24"/>
        </w:rPr>
        <w:t> </w:t>
      </w:r>
      <w:r w:rsidRPr="000130D1">
        <w:rPr>
          <w:i/>
          <w:szCs w:val="24"/>
        </w:rPr>
        <w:t>panta trešās daļas 11.</w:t>
      </w:r>
      <w:r w:rsidR="00165E14">
        <w:rPr>
          <w:i/>
          <w:szCs w:val="24"/>
        </w:rPr>
        <w:t> </w:t>
      </w:r>
      <w:r w:rsidRPr="000130D1">
        <w:rPr>
          <w:i/>
          <w:szCs w:val="24"/>
        </w:rPr>
        <w:t>punktu</w:t>
      </w:r>
    </w:p>
    <w:p w14:paraId="2E0A1FF4" w14:textId="5578A157" w:rsidR="000130D1" w:rsidRDefault="000130D1" w:rsidP="00165E14">
      <w:pPr>
        <w:spacing w:after="0" w:line="240" w:lineRule="auto"/>
        <w:ind w:firstLine="720"/>
        <w:rPr>
          <w:iCs/>
          <w:szCs w:val="24"/>
        </w:rPr>
      </w:pPr>
    </w:p>
    <w:p w14:paraId="3592BE2D" w14:textId="739F7EB0" w:rsidR="007B460F" w:rsidRDefault="005B4665" w:rsidP="00165E14">
      <w:pPr>
        <w:pStyle w:val="Sarakstarindkopa"/>
        <w:spacing w:after="0" w:line="240" w:lineRule="auto"/>
        <w:ind w:left="0" w:firstLine="426"/>
        <w:jc w:val="both"/>
        <w:rPr>
          <w:iCs/>
          <w:szCs w:val="24"/>
        </w:rPr>
      </w:pPr>
      <w:r>
        <w:rPr>
          <w:iCs/>
          <w:szCs w:val="24"/>
        </w:rPr>
        <w:t>Izdarīt Alūksnes novada pašvaldības domes 2023.</w:t>
      </w:r>
      <w:r w:rsidR="00165E14">
        <w:rPr>
          <w:iCs/>
          <w:szCs w:val="24"/>
        </w:rPr>
        <w:t> </w:t>
      </w:r>
      <w:r>
        <w:rPr>
          <w:iCs/>
          <w:szCs w:val="24"/>
        </w:rPr>
        <w:t>gada 27.</w:t>
      </w:r>
      <w:r w:rsidR="00165E14">
        <w:rPr>
          <w:iCs/>
          <w:szCs w:val="24"/>
        </w:rPr>
        <w:t> </w:t>
      </w:r>
      <w:r>
        <w:rPr>
          <w:iCs/>
          <w:szCs w:val="24"/>
        </w:rPr>
        <w:t>jūlija saistošajos noteikumos Nr.</w:t>
      </w:r>
      <w:r w:rsidR="00165E14">
        <w:rPr>
          <w:iCs/>
          <w:szCs w:val="24"/>
        </w:rPr>
        <w:t> </w:t>
      </w:r>
      <w:r>
        <w:rPr>
          <w:iCs/>
          <w:szCs w:val="24"/>
        </w:rPr>
        <w:t>19/2023 “Par ēdināšanas pakalpojuma maksas atvieglojumiem Alūksnes novada pašvaldības izglītības iestādēs”</w:t>
      </w:r>
      <w:r w:rsidR="007B460F">
        <w:rPr>
          <w:iCs/>
          <w:szCs w:val="24"/>
        </w:rPr>
        <w:t xml:space="preserve"> šādu grozījumu:</w:t>
      </w:r>
    </w:p>
    <w:p w14:paraId="2B2E0E0F" w14:textId="59F17B06" w:rsidR="004A5A89" w:rsidRPr="00165E14" w:rsidRDefault="004A5A89" w:rsidP="00165E14">
      <w:pPr>
        <w:pStyle w:val="Sarakstarindkopa"/>
        <w:spacing w:after="0" w:line="240" w:lineRule="auto"/>
        <w:ind w:left="0" w:firstLine="426"/>
        <w:jc w:val="both"/>
        <w:rPr>
          <w:iCs/>
          <w:color w:val="000000" w:themeColor="text1"/>
          <w:szCs w:val="24"/>
        </w:rPr>
      </w:pPr>
      <w:r w:rsidRPr="00165E14">
        <w:rPr>
          <w:iCs/>
          <w:color w:val="000000" w:themeColor="text1"/>
          <w:szCs w:val="24"/>
        </w:rPr>
        <w:t>1. Izteikt 5.5.</w:t>
      </w:r>
      <w:r w:rsidR="00165E14">
        <w:rPr>
          <w:iCs/>
          <w:color w:val="000000" w:themeColor="text1"/>
          <w:szCs w:val="24"/>
        </w:rPr>
        <w:t> </w:t>
      </w:r>
      <w:r w:rsidRPr="00165E14">
        <w:rPr>
          <w:iCs/>
          <w:color w:val="000000" w:themeColor="text1"/>
          <w:szCs w:val="24"/>
        </w:rPr>
        <w:t>apakšpunktu šādā redakcijā:</w:t>
      </w:r>
    </w:p>
    <w:p w14:paraId="6501FDA4" w14:textId="667EE7B7" w:rsidR="004A5A89" w:rsidRPr="00165E14" w:rsidRDefault="004A5A89" w:rsidP="00165E14">
      <w:pPr>
        <w:pStyle w:val="Sarakstarindkopa"/>
        <w:spacing w:after="0" w:line="240" w:lineRule="auto"/>
        <w:ind w:left="0" w:firstLine="426"/>
        <w:jc w:val="both"/>
        <w:rPr>
          <w:iCs/>
          <w:color w:val="000000" w:themeColor="text1"/>
          <w:szCs w:val="24"/>
        </w:rPr>
      </w:pPr>
      <w:r w:rsidRPr="00165E14">
        <w:rPr>
          <w:iCs/>
          <w:color w:val="000000" w:themeColor="text1"/>
          <w:szCs w:val="24"/>
        </w:rPr>
        <w:t xml:space="preserve">“5.5. </w:t>
      </w:r>
      <w:r w:rsidRPr="00165E14">
        <w:rPr>
          <w:rFonts w:cs="Times New Roman"/>
          <w:color w:val="000000" w:themeColor="text1"/>
          <w:shd w:val="clear" w:color="auto" w:fill="FFFFFF"/>
        </w:rPr>
        <w:t xml:space="preserve">vispārizglītojošās izglītības iestādēs, kur ēdināšanas pakalpojumu nodrošina ārpakalpojumu sniedzējs, 1.–4. klašu izglītojamo neizlietoto normatīvajos aktos noteikto valsts finansējumu novirza 5., 6., 7., 8. un 9. klašu izglītojamajiem ēdināšanas pakalpojuma – pusdienu izmaksu – segšanai </w:t>
      </w:r>
      <w:r w:rsidRPr="00165E14">
        <w:rPr>
          <w:iCs/>
          <w:color w:val="000000" w:themeColor="text1"/>
          <w:szCs w:val="24"/>
        </w:rPr>
        <w:t>daļēji aizstājot 5.6.2.punktā noteikto pašvaldības finansējumu;”.</w:t>
      </w:r>
    </w:p>
    <w:p w14:paraId="0FD26E4F" w14:textId="2A420D28" w:rsidR="000130D1" w:rsidRDefault="000130D1" w:rsidP="00165E14">
      <w:pPr>
        <w:pStyle w:val="Sarakstarindkopa"/>
        <w:spacing w:after="0" w:line="240" w:lineRule="auto"/>
        <w:ind w:left="0" w:firstLine="426"/>
        <w:jc w:val="both"/>
        <w:rPr>
          <w:iCs/>
          <w:szCs w:val="24"/>
        </w:rPr>
      </w:pPr>
      <w:r>
        <w:rPr>
          <w:iCs/>
          <w:szCs w:val="24"/>
        </w:rPr>
        <w:t xml:space="preserve"> </w:t>
      </w:r>
    </w:p>
    <w:p w14:paraId="27ECBEB6" w14:textId="17AE37C0" w:rsidR="001338E8" w:rsidRPr="00260C12" w:rsidRDefault="001338E8" w:rsidP="00260C12">
      <w:pPr>
        <w:jc w:val="center"/>
      </w:pPr>
      <w:r w:rsidRPr="00A25018">
        <w:rPr>
          <w:rFonts w:eastAsia="Calibri"/>
          <w:b/>
          <w:bCs/>
          <w:color w:val="000000" w:themeColor="text1"/>
          <w:szCs w:val="24"/>
        </w:rPr>
        <w:t>Alūksnes novada pašvaldības domes 202</w:t>
      </w:r>
      <w:r>
        <w:rPr>
          <w:rFonts w:eastAsia="Calibri"/>
          <w:b/>
          <w:bCs/>
          <w:color w:val="000000" w:themeColor="text1"/>
          <w:szCs w:val="24"/>
        </w:rPr>
        <w:t>4</w:t>
      </w:r>
      <w:r w:rsidRPr="00A25018">
        <w:rPr>
          <w:rFonts w:eastAsia="Calibri"/>
          <w:b/>
          <w:bCs/>
          <w:color w:val="000000" w:themeColor="text1"/>
          <w:szCs w:val="24"/>
        </w:rPr>
        <w:t>.</w:t>
      </w:r>
      <w:r w:rsidR="00165E14">
        <w:rPr>
          <w:rFonts w:eastAsia="Calibri"/>
          <w:b/>
          <w:bCs/>
          <w:color w:val="000000" w:themeColor="text1"/>
          <w:szCs w:val="24"/>
        </w:rPr>
        <w:t> </w:t>
      </w:r>
      <w:r w:rsidRPr="00A25018">
        <w:rPr>
          <w:rFonts w:eastAsia="Calibri"/>
          <w:b/>
          <w:bCs/>
          <w:color w:val="000000" w:themeColor="text1"/>
          <w:szCs w:val="24"/>
        </w:rPr>
        <w:t xml:space="preserve">gada </w:t>
      </w:r>
      <w:r>
        <w:rPr>
          <w:rFonts w:eastAsia="Calibri"/>
          <w:b/>
          <w:bCs/>
          <w:color w:val="000000" w:themeColor="text1"/>
          <w:szCs w:val="24"/>
        </w:rPr>
        <w:t>29.</w:t>
      </w:r>
      <w:r w:rsidR="00165E14">
        <w:rPr>
          <w:rFonts w:eastAsia="Calibri"/>
          <w:b/>
          <w:bCs/>
          <w:color w:val="000000" w:themeColor="text1"/>
          <w:szCs w:val="24"/>
        </w:rPr>
        <w:t> </w:t>
      </w:r>
      <w:r>
        <w:rPr>
          <w:rFonts w:eastAsia="Calibri"/>
          <w:b/>
          <w:bCs/>
          <w:color w:val="000000" w:themeColor="text1"/>
          <w:szCs w:val="24"/>
        </w:rPr>
        <w:t>februāra</w:t>
      </w:r>
      <w:r w:rsidR="00165E14">
        <w:rPr>
          <w:rFonts w:eastAsia="Calibri"/>
          <w:b/>
          <w:bCs/>
          <w:color w:val="000000" w:themeColor="text1"/>
          <w:szCs w:val="24"/>
        </w:rPr>
        <w:t xml:space="preserve"> </w:t>
      </w:r>
      <w:r w:rsidRPr="00A25018">
        <w:rPr>
          <w:rFonts w:eastAsia="Calibri"/>
          <w:b/>
          <w:bCs/>
          <w:color w:val="000000" w:themeColor="text1"/>
          <w:szCs w:val="24"/>
        </w:rPr>
        <w:t xml:space="preserve">saistošo noteikumu Nr. </w:t>
      </w:r>
      <w:r>
        <w:rPr>
          <w:rFonts w:eastAsia="Calibri"/>
          <w:b/>
          <w:bCs/>
          <w:color w:val="000000" w:themeColor="text1"/>
          <w:szCs w:val="24"/>
        </w:rPr>
        <w:t>_/2024</w:t>
      </w:r>
      <w:r w:rsidR="00165E14">
        <w:rPr>
          <w:rFonts w:eastAsia="Calibri"/>
          <w:b/>
          <w:bCs/>
          <w:color w:val="000000" w:themeColor="text1"/>
          <w:szCs w:val="24"/>
        </w:rPr>
        <w:t xml:space="preserve"> </w:t>
      </w:r>
      <w:r>
        <w:rPr>
          <w:b/>
          <w:bCs/>
        </w:rPr>
        <w:t xml:space="preserve">“Par grozījumu </w:t>
      </w:r>
      <w:r w:rsidRPr="00D26F82">
        <w:rPr>
          <w:b/>
          <w:bCs/>
        </w:rPr>
        <w:t xml:space="preserve">Alūksnes novada </w:t>
      </w:r>
      <w:r>
        <w:rPr>
          <w:b/>
          <w:bCs/>
        </w:rPr>
        <w:t xml:space="preserve">pašvaldības </w:t>
      </w:r>
      <w:r w:rsidRPr="00D26F82">
        <w:rPr>
          <w:b/>
          <w:bCs/>
        </w:rPr>
        <w:t>domes 202</w:t>
      </w:r>
      <w:r>
        <w:rPr>
          <w:b/>
          <w:bCs/>
        </w:rPr>
        <w:t>3</w:t>
      </w:r>
      <w:r w:rsidRPr="00D26F82">
        <w:rPr>
          <w:b/>
          <w:bCs/>
        </w:rPr>
        <w:t>.</w:t>
      </w:r>
      <w:r w:rsidR="00165E14">
        <w:rPr>
          <w:b/>
          <w:bCs/>
        </w:rPr>
        <w:t> </w:t>
      </w:r>
      <w:r w:rsidRPr="00D26F82">
        <w:rPr>
          <w:b/>
          <w:bCs/>
        </w:rPr>
        <w:t xml:space="preserve">gada </w:t>
      </w:r>
      <w:r>
        <w:rPr>
          <w:b/>
          <w:bCs/>
        </w:rPr>
        <w:t>27.</w:t>
      </w:r>
      <w:r w:rsidR="00165E14">
        <w:rPr>
          <w:b/>
          <w:bCs/>
        </w:rPr>
        <w:t> </w:t>
      </w:r>
      <w:r>
        <w:rPr>
          <w:b/>
          <w:bCs/>
        </w:rPr>
        <w:t>jūlija</w:t>
      </w:r>
      <w:r w:rsidRPr="00D26F82">
        <w:rPr>
          <w:b/>
          <w:bCs/>
        </w:rPr>
        <w:t xml:space="preserve"> saistošajos noteikumos Nr.</w:t>
      </w:r>
      <w:r w:rsidR="00165E14">
        <w:rPr>
          <w:b/>
          <w:bCs/>
        </w:rPr>
        <w:t> </w:t>
      </w:r>
      <w:r>
        <w:rPr>
          <w:b/>
          <w:bCs/>
        </w:rPr>
        <w:t>19</w:t>
      </w:r>
      <w:r w:rsidRPr="00D26F82">
        <w:rPr>
          <w:b/>
          <w:bCs/>
        </w:rPr>
        <w:t>/202</w:t>
      </w:r>
      <w:r>
        <w:rPr>
          <w:b/>
          <w:bCs/>
        </w:rPr>
        <w:t>3</w:t>
      </w:r>
      <w:r w:rsidRPr="00A25018">
        <w:rPr>
          <w:b/>
          <w:bCs/>
        </w:rPr>
        <w:t xml:space="preserve"> “Par </w:t>
      </w:r>
      <w:r>
        <w:rPr>
          <w:b/>
          <w:bCs/>
        </w:rPr>
        <w:t>ēdināšanas pakalpojuma</w:t>
      </w:r>
      <w:r w:rsidRPr="00A25018">
        <w:rPr>
          <w:b/>
          <w:bCs/>
        </w:rPr>
        <w:t xml:space="preserve"> maksas atvieglojumiem </w:t>
      </w:r>
      <w:r>
        <w:rPr>
          <w:b/>
          <w:bCs/>
        </w:rPr>
        <w:t>Alūksnes novada pašvaldības izglītības iestādēs</w:t>
      </w:r>
      <w:r w:rsidRPr="00A25018">
        <w:rPr>
          <w:b/>
          <w:bCs/>
        </w:rPr>
        <w:t>”</w:t>
      </w:r>
      <w:r w:rsidR="00165E14">
        <w:rPr>
          <w:rFonts w:eastAsia="Calibri"/>
          <w:b/>
          <w:bCs/>
          <w:color w:val="000000" w:themeColor="text1"/>
          <w:szCs w:val="24"/>
        </w:rPr>
        <w:t xml:space="preserve"> </w:t>
      </w:r>
      <w:r w:rsidRPr="00A25018">
        <w:rPr>
          <w:rFonts w:eastAsia="Calibri"/>
          <w:b/>
          <w:bCs/>
          <w:color w:val="000000" w:themeColor="text1"/>
          <w:szCs w:val="24"/>
        </w:rPr>
        <w:t>paskaidrojuma raksts</w:t>
      </w:r>
    </w:p>
    <w:p w14:paraId="405D15B2" w14:textId="77777777" w:rsidR="001338E8" w:rsidRPr="00A25018" w:rsidRDefault="001338E8" w:rsidP="00165E14">
      <w:pPr>
        <w:spacing w:after="0" w:line="240" w:lineRule="auto"/>
        <w:jc w:val="center"/>
        <w:textAlignment w:val="baseline"/>
        <w:rPr>
          <w:szCs w:val="24"/>
        </w:rPr>
      </w:pPr>
    </w:p>
    <w:tbl>
      <w:tblPr>
        <w:tblW w:w="10028"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553"/>
      </w:tblGrid>
      <w:tr w:rsidR="001338E8" w:rsidRPr="00A25018" w14:paraId="56E56562" w14:textId="77777777" w:rsidTr="00165E1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1635BD" w14:textId="77777777" w:rsidR="001338E8" w:rsidRPr="00A25018" w:rsidRDefault="001338E8" w:rsidP="000153CB">
            <w:pPr>
              <w:ind w:right="39"/>
              <w:jc w:val="center"/>
              <w:textAlignment w:val="baseline"/>
              <w:rPr>
                <w:szCs w:val="24"/>
              </w:rPr>
            </w:pPr>
            <w:r w:rsidRPr="00A25018">
              <w:rPr>
                <w:b/>
                <w:bCs/>
                <w:szCs w:val="24"/>
              </w:rPr>
              <w:t>Paskaidrojuma raksta sadaļa</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51878F7" w14:textId="77777777" w:rsidR="001338E8" w:rsidRPr="00A25018" w:rsidRDefault="001338E8" w:rsidP="000153CB">
            <w:pPr>
              <w:ind w:right="102"/>
              <w:jc w:val="center"/>
              <w:textAlignment w:val="baseline"/>
              <w:rPr>
                <w:b/>
                <w:bCs/>
                <w:szCs w:val="24"/>
              </w:rPr>
            </w:pPr>
            <w:r w:rsidRPr="00A25018">
              <w:rPr>
                <w:b/>
                <w:bCs/>
                <w:szCs w:val="24"/>
              </w:rPr>
              <w:t>Norādāmā informācija </w:t>
            </w:r>
          </w:p>
        </w:tc>
      </w:tr>
      <w:tr w:rsidR="001338E8" w:rsidRPr="005E2495" w14:paraId="2B1A024B" w14:textId="77777777" w:rsidTr="00165E14">
        <w:trPr>
          <w:trHeight w:val="814"/>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6F4FA5" w14:textId="77777777" w:rsidR="001338E8" w:rsidRPr="00C071B2" w:rsidRDefault="001338E8" w:rsidP="001338E8">
            <w:pPr>
              <w:widowControl w:val="0"/>
              <w:numPr>
                <w:ilvl w:val="0"/>
                <w:numId w:val="2"/>
              </w:numPr>
              <w:tabs>
                <w:tab w:val="num" w:pos="720"/>
              </w:tabs>
              <w:ind w:left="392" w:right="39" w:hanging="284"/>
              <w:textAlignment w:val="baseline"/>
              <w:rPr>
                <w:szCs w:val="24"/>
              </w:rPr>
            </w:pPr>
            <w:r w:rsidRPr="00C071B2">
              <w:rPr>
                <w:szCs w:val="24"/>
              </w:rPr>
              <w:t>Mērķis un nepieciešamības pamatojums: </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4F4E1F" w14:textId="77777777" w:rsidR="001338E8" w:rsidRPr="005E2495" w:rsidRDefault="001338E8" w:rsidP="00165E14">
            <w:pPr>
              <w:pStyle w:val="Sarakstarindkopa"/>
              <w:widowControl w:val="0"/>
              <w:numPr>
                <w:ilvl w:val="1"/>
                <w:numId w:val="11"/>
              </w:numPr>
              <w:tabs>
                <w:tab w:val="left" w:pos="545"/>
              </w:tabs>
              <w:ind w:left="0" w:right="102" w:firstLine="44"/>
              <w:jc w:val="both"/>
              <w:textAlignment w:val="baseline"/>
            </w:pPr>
            <w:r w:rsidRPr="00C071B2">
              <w:t xml:space="preserve">saistošo noteikumu izdošanas mērķis -  ēdināšanas pakalpojuma maksas atvieglojumu piešķiršana izglītojamajiem, kuri klātienē apmeklē Alūksnes novada pašvaldības izglītības iestādes, </w:t>
            </w:r>
            <w:r w:rsidRPr="005E2495">
              <w:t xml:space="preserve"> </w:t>
            </w:r>
            <w:r w:rsidRPr="00C071B2">
              <w:rPr>
                <w:bCs/>
              </w:rPr>
              <w:t>finansiāla un sociāla atbalsta sniegšana ģimenēm ar bērniem, kuri iegūst izglītību pašvaldības izglītības iestādēs, tādējādi nodrošinot, ka visi bērni saņem siltu, veselīgu un daudzveidīgu ēdienu;</w:t>
            </w:r>
          </w:p>
          <w:p w14:paraId="37149161" w14:textId="5488B67E" w:rsidR="001338E8" w:rsidRPr="005E2495" w:rsidRDefault="001338E8" w:rsidP="00165E14">
            <w:pPr>
              <w:pStyle w:val="Sarakstarindkopa"/>
              <w:widowControl w:val="0"/>
              <w:numPr>
                <w:ilvl w:val="1"/>
                <w:numId w:val="11"/>
              </w:numPr>
              <w:tabs>
                <w:tab w:val="left" w:pos="404"/>
              </w:tabs>
              <w:ind w:left="0" w:right="102" w:firstLine="0"/>
              <w:jc w:val="both"/>
              <w:textAlignment w:val="baseline"/>
            </w:pPr>
            <w:r w:rsidRPr="00C071B2">
              <w:t>saistošo noteikumu izdošanas pamatojums - Izglītības likuma 17.</w:t>
            </w:r>
            <w:r w:rsidR="00165E14">
              <w:t> </w:t>
            </w:r>
            <w:r w:rsidRPr="00C071B2">
              <w:t>panta trešās daļas 11.</w:t>
            </w:r>
            <w:r w:rsidR="00165E14">
              <w:t> </w:t>
            </w:r>
            <w:r w:rsidRPr="00C071B2">
              <w:t>punkts, kas noteic, ka pašvaldība nosaka tos izglītojamos, kuru ēdināšanas izmaksas tā sedz un Pašvaldību likuma 44.</w:t>
            </w:r>
            <w:r w:rsidR="00165E14">
              <w:t> </w:t>
            </w:r>
            <w:r w:rsidRPr="00C071B2">
              <w:t xml:space="preserve">panta otrā daļa, kas noteic, ka pašvaldības dome var izdot saistošos noteikumus, lai </w:t>
            </w:r>
            <w:r w:rsidRPr="00C071B2">
              <w:lastRenderedPageBreak/>
              <w:t>nodrošinātu pašvaldības autonomo funkciju un brīvprātīgo iniciatīvu izpildi</w:t>
            </w:r>
            <w:r>
              <w:t>.</w:t>
            </w:r>
          </w:p>
        </w:tc>
      </w:tr>
      <w:tr w:rsidR="001338E8" w:rsidRPr="005E2495" w14:paraId="75F8AF21" w14:textId="77777777" w:rsidTr="00165E1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D6B8BC" w14:textId="77777777" w:rsidR="001338E8" w:rsidRPr="00C071B2" w:rsidRDefault="001338E8" w:rsidP="001338E8">
            <w:pPr>
              <w:widowControl w:val="0"/>
              <w:numPr>
                <w:ilvl w:val="0"/>
                <w:numId w:val="3"/>
              </w:numPr>
              <w:ind w:left="392" w:right="39" w:hanging="284"/>
              <w:textAlignment w:val="baseline"/>
              <w:rPr>
                <w:szCs w:val="24"/>
              </w:rPr>
            </w:pPr>
            <w:r w:rsidRPr="00C071B2">
              <w:rPr>
                <w:szCs w:val="24"/>
              </w:rPr>
              <w:lastRenderedPageBreak/>
              <w:t>Fiskālā ietekme uz pašvaldības budžetu: </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79D4B3" w14:textId="7995EC76" w:rsidR="001338E8" w:rsidRPr="00C071B2" w:rsidRDefault="001338E8" w:rsidP="00165E14">
            <w:pPr>
              <w:widowControl w:val="0"/>
              <w:numPr>
                <w:ilvl w:val="0"/>
                <w:numId w:val="10"/>
              </w:numPr>
              <w:tabs>
                <w:tab w:val="left" w:pos="404"/>
              </w:tabs>
              <w:spacing w:after="0" w:line="240" w:lineRule="auto"/>
              <w:ind w:left="0" w:right="102" w:firstLine="0"/>
              <w:jc w:val="both"/>
              <w:textAlignment w:val="baseline"/>
              <w:rPr>
                <w:szCs w:val="24"/>
              </w:rPr>
            </w:pPr>
            <w:r w:rsidRPr="00C071B2">
              <w:rPr>
                <w:rFonts w:eastAsia="Calibri"/>
                <w:szCs w:val="24"/>
              </w:rPr>
              <w:t xml:space="preserve">saistošo noteikumu </w:t>
            </w:r>
            <w:r w:rsidRPr="00C071B2">
              <w:rPr>
                <w:szCs w:val="24"/>
              </w:rPr>
              <w:t xml:space="preserve">projekts precizē </w:t>
            </w:r>
            <w:r w:rsidRPr="00C071B2">
              <w:rPr>
                <w:rFonts w:eastAsia="Calibri"/>
                <w:szCs w:val="24"/>
              </w:rPr>
              <w:t xml:space="preserve">ēdināšanas pakalpojuma maksas atvieglojumu </w:t>
            </w:r>
            <w:r>
              <w:rPr>
                <w:rFonts w:eastAsia="Calibri"/>
                <w:szCs w:val="24"/>
              </w:rPr>
              <w:t>finansēšanas avotus</w:t>
            </w:r>
            <w:r w:rsidRPr="00C071B2">
              <w:rPr>
                <w:rFonts w:eastAsia="Calibri"/>
                <w:szCs w:val="24"/>
              </w:rPr>
              <w:t>.</w:t>
            </w:r>
            <w:r w:rsidRPr="00C071B2">
              <w:rPr>
                <w:szCs w:val="24"/>
              </w:rPr>
              <w:t xml:space="preserve"> Ar saistošajiem noteikumiem noteiktie ēdināšanas pakalpojuma maksas atvieglojumi tiks noteikti papildus pašvaldības sociālās palīdzības pabalstam -  pabalsts ēdināšanai pirmsskolas, vispārējās un profesionālajās izglītības iestādēs</w:t>
            </w:r>
            <w:r>
              <w:rPr>
                <w:szCs w:val="24"/>
              </w:rPr>
              <w:t>;</w:t>
            </w:r>
          </w:p>
          <w:p w14:paraId="5BE186AE" w14:textId="5CE6CFD1" w:rsidR="001338E8" w:rsidRPr="00C071B2" w:rsidRDefault="001338E8" w:rsidP="000153CB">
            <w:pPr>
              <w:widowControl w:val="0"/>
              <w:ind w:right="102"/>
              <w:contextualSpacing/>
              <w:jc w:val="both"/>
              <w:textAlignment w:val="baseline"/>
              <w:rPr>
                <w:rFonts w:eastAsia="Calibri"/>
                <w:szCs w:val="24"/>
              </w:rPr>
            </w:pPr>
            <w:r w:rsidRPr="00C071B2">
              <w:rPr>
                <w:rFonts w:eastAsia="Calibri"/>
                <w:szCs w:val="24"/>
              </w:rPr>
              <w:t>2.</w:t>
            </w:r>
            <w:r>
              <w:rPr>
                <w:rFonts w:eastAsia="Calibri"/>
                <w:szCs w:val="24"/>
              </w:rPr>
              <w:t>2</w:t>
            </w:r>
            <w:r w:rsidRPr="00C071B2">
              <w:rPr>
                <w:rFonts w:eastAsia="Calibri"/>
                <w:szCs w:val="24"/>
              </w:rPr>
              <w:t xml:space="preserve">. saistošo noteikumu </w:t>
            </w:r>
            <w:r w:rsidRPr="00C071B2">
              <w:rPr>
                <w:szCs w:val="24"/>
              </w:rPr>
              <w:t>projekts</w:t>
            </w:r>
            <w:r w:rsidR="001D39CA">
              <w:rPr>
                <w:rFonts w:eastAsia="Calibri"/>
                <w:szCs w:val="24"/>
              </w:rPr>
              <w:t xml:space="preserve"> neparedz papildu izmaksas no pašvaldības budžeta</w:t>
            </w:r>
            <w:r>
              <w:rPr>
                <w:rFonts w:eastAsia="Calibri"/>
                <w:szCs w:val="24"/>
              </w:rPr>
              <w:t>.</w:t>
            </w:r>
            <w:r w:rsidRPr="005E2495">
              <w:rPr>
                <w:rFonts w:ascii="Arial" w:hAnsi="Arial" w:cs="Arial"/>
                <w:color w:val="4B4F58"/>
                <w:sz w:val="23"/>
                <w:szCs w:val="23"/>
                <w:shd w:val="clear" w:color="auto" w:fill="FFFFFF"/>
              </w:rPr>
              <w:t xml:space="preserve"> </w:t>
            </w:r>
          </w:p>
        </w:tc>
      </w:tr>
      <w:tr w:rsidR="001338E8" w:rsidRPr="00A25018" w14:paraId="7FE375AC" w14:textId="77777777" w:rsidTr="00165E1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6370BC" w14:textId="77777777" w:rsidR="001338E8" w:rsidRPr="00A25018" w:rsidRDefault="001338E8" w:rsidP="001338E8">
            <w:pPr>
              <w:widowControl w:val="0"/>
              <w:numPr>
                <w:ilvl w:val="0"/>
                <w:numId w:val="4"/>
              </w:numPr>
              <w:ind w:left="392" w:right="39" w:hanging="284"/>
              <w:textAlignment w:val="baseline"/>
              <w:rPr>
                <w:szCs w:val="24"/>
              </w:rPr>
            </w:pPr>
            <w:r w:rsidRPr="00A25018">
              <w:rPr>
                <w:szCs w:val="24"/>
              </w:rPr>
              <w:t>Sociālā ietekme, ietekme uz vidi, iedzīvotāju veselību, uzņēmējdarbības vidi pašvaldības teritorijā, kā arī plānotā regulējuma ietekme uz konkurenci: </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E8BDED" w14:textId="77777777" w:rsidR="001338E8" w:rsidRDefault="001338E8" w:rsidP="000153CB">
            <w:pPr>
              <w:widowControl w:val="0"/>
              <w:ind w:right="102"/>
              <w:contextualSpacing/>
              <w:jc w:val="both"/>
              <w:textAlignment w:val="baseline"/>
              <w:rPr>
                <w:bCs/>
                <w:szCs w:val="24"/>
              </w:rPr>
            </w:pPr>
            <w:r w:rsidRPr="008572F3">
              <w:rPr>
                <w:bCs/>
                <w:szCs w:val="24"/>
              </w:rPr>
              <w:t>3.1.</w:t>
            </w:r>
            <w:r>
              <w:rPr>
                <w:bCs/>
                <w:szCs w:val="24"/>
              </w:rPr>
              <w:t xml:space="preserve"> </w:t>
            </w:r>
            <w:r w:rsidRPr="008572F3">
              <w:rPr>
                <w:bCs/>
                <w:szCs w:val="24"/>
              </w:rPr>
              <w:t xml:space="preserve">sociālā ietekme – </w:t>
            </w:r>
            <w:r>
              <w:rPr>
                <w:bCs/>
                <w:szCs w:val="24"/>
              </w:rPr>
              <w:t>ņemot vērā sociālekonomiskos apstākļus, lielai daļai izglītojamo pusdienas skolā var būt vienīgā ēdienreize dienā. Pašvaldības piešķirtais ēdināšanas pakalpojuma maksas atvieglojums ir finansiāls un sociāls atbalsts ģimenēm ar bērniem, kuri iegūst izglītību pašvaldības izglītības iestādēs;</w:t>
            </w:r>
          </w:p>
          <w:p w14:paraId="38CB20F0" w14:textId="77777777" w:rsidR="001338E8" w:rsidRDefault="001338E8" w:rsidP="000153CB">
            <w:pPr>
              <w:widowControl w:val="0"/>
              <w:ind w:right="102"/>
              <w:contextualSpacing/>
              <w:jc w:val="both"/>
              <w:textAlignment w:val="baseline"/>
              <w:rPr>
                <w:bCs/>
                <w:szCs w:val="24"/>
              </w:rPr>
            </w:pPr>
            <w:r>
              <w:rPr>
                <w:bCs/>
                <w:szCs w:val="24"/>
              </w:rPr>
              <w:t>3.2. nav ietekmes uz vidi;</w:t>
            </w:r>
          </w:p>
          <w:p w14:paraId="63BB69FB" w14:textId="77777777" w:rsidR="001338E8" w:rsidRDefault="001338E8" w:rsidP="000153CB">
            <w:pPr>
              <w:widowControl w:val="0"/>
              <w:ind w:right="102"/>
              <w:contextualSpacing/>
              <w:jc w:val="both"/>
              <w:textAlignment w:val="baseline"/>
              <w:rPr>
                <w:bCs/>
                <w:szCs w:val="24"/>
              </w:rPr>
            </w:pPr>
            <w:r>
              <w:rPr>
                <w:bCs/>
                <w:szCs w:val="24"/>
              </w:rPr>
              <w:t xml:space="preserve">3.3. ietekme uz veselību – iespēja visiem izglītojamajiem saņemt siltu, veselīgu, pilnvērtīgu un daudzveidīgu ēdienu, ir būtiska gan no veselības, gan attīstības viedokļa; </w:t>
            </w:r>
          </w:p>
          <w:p w14:paraId="27DDB760" w14:textId="77777777" w:rsidR="001338E8" w:rsidRDefault="001338E8" w:rsidP="000153CB">
            <w:pPr>
              <w:widowControl w:val="0"/>
              <w:ind w:right="102"/>
              <w:contextualSpacing/>
              <w:jc w:val="both"/>
              <w:textAlignment w:val="baseline"/>
              <w:rPr>
                <w:bCs/>
                <w:szCs w:val="24"/>
              </w:rPr>
            </w:pPr>
            <w:r>
              <w:rPr>
                <w:bCs/>
                <w:szCs w:val="24"/>
              </w:rPr>
              <w:t>3.4. nav ietekmes uz uzņēmējdarbības vidi pašvaldības teritorijā;</w:t>
            </w:r>
          </w:p>
          <w:p w14:paraId="7FD094A5" w14:textId="7C140420" w:rsidR="001338E8" w:rsidRPr="008572F3" w:rsidRDefault="001338E8" w:rsidP="000153CB">
            <w:pPr>
              <w:widowControl w:val="0"/>
              <w:ind w:right="102"/>
              <w:contextualSpacing/>
              <w:jc w:val="both"/>
              <w:textAlignment w:val="baseline"/>
              <w:rPr>
                <w:bCs/>
                <w:szCs w:val="24"/>
              </w:rPr>
            </w:pPr>
            <w:r>
              <w:rPr>
                <w:bCs/>
                <w:szCs w:val="24"/>
              </w:rPr>
              <w:t>3.5. nav ietekmes uz konkurenci</w:t>
            </w:r>
            <w:r w:rsidR="00165E14">
              <w:rPr>
                <w:bCs/>
                <w:szCs w:val="24"/>
              </w:rPr>
              <w:t>.</w:t>
            </w:r>
          </w:p>
        </w:tc>
      </w:tr>
      <w:tr w:rsidR="001338E8" w:rsidRPr="005E2495" w14:paraId="2C8AE710" w14:textId="77777777" w:rsidTr="00165E1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2651E0" w14:textId="77777777" w:rsidR="001338E8" w:rsidRPr="00A25018" w:rsidRDefault="001338E8" w:rsidP="001338E8">
            <w:pPr>
              <w:widowControl w:val="0"/>
              <w:numPr>
                <w:ilvl w:val="0"/>
                <w:numId w:val="5"/>
              </w:numPr>
              <w:ind w:left="392" w:right="39" w:hanging="284"/>
              <w:textAlignment w:val="baseline"/>
              <w:rPr>
                <w:szCs w:val="24"/>
              </w:rPr>
            </w:pPr>
            <w:r w:rsidRPr="00A25018">
              <w:rPr>
                <w:szCs w:val="24"/>
              </w:rPr>
              <w:t>Ietekme uz administratīvajām procedūrām un to izmaksām: </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1FEB18" w14:textId="77777777" w:rsidR="001338E8" w:rsidRPr="006838A0" w:rsidRDefault="001338E8" w:rsidP="000153CB">
            <w:pPr>
              <w:widowControl w:val="0"/>
              <w:ind w:right="102"/>
              <w:jc w:val="both"/>
              <w:textAlignment w:val="baseline"/>
              <w:rPr>
                <w:szCs w:val="24"/>
              </w:rPr>
            </w:pPr>
            <w:r w:rsidRPr="00C03E4C">
              <w:rPr>
                <w:szCs w:val="24"/>
              </w:rPr>
              <w:t>Saistošo noteikumu piemērošanu nodrošinās Alūksnes novada pašvaldības izglītības iestādes. Personām ir tiesības iesniegt atteikumu par ēdināšanas pakalpojuma maksas atvieglojumu saņemšanu. Izglītības iestāžu pieņemtos lēmumus personai ir tiesības apstrīdēt Alūksnes novada pašvaldības domē.  Atteikumu un apstrīdēšanas iesniegumu pieņemšanu klātienē no iedzīvotājiem pašvaldībā nodrošina pašvaldības klientu apkalpošanas centri  novada teritoriālajās vienībās. </w:t>
            </w:r>
          </w:p>
        </w:tc>
      </w:tr>
      <w:tr w:rsidR="001338E8" w:rsidRPr="005E2495" w14:paraId="4805F596" w14:textId="77777777" w:rsidTr="00165E1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CF2781" w14:textId="77777777" w:rsidR="001338E8" w:rsidRPr="00A25018" w:rsidRDefault="001338E8" w:rsidP="001338E8">
            <w:pPr>
              <w:widowControl w:val="0"/>
              <w:numPr>
                <w:ilvl w:val="0"/>
                <w:numId w:val="6"/>
              </w:numPr>
              <w:ind w:left="392" w:right="39" w:hanging="284"/>
              <w:textAlignment w:val="baseline"/>
              <w:rPr>
                <w:szCs w:val="24"/>
              </w:rPr>
            </w:pPr>
            <w:r w:rsidRPr="00A25018">
              <w:rPr>
                <w:szCs w:val="24"/>
              </w:rPr>
              <w:t>Ietekme uz pašvaldības funkcijām un cilvēkresursiem: </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2B5FC6" w14:textId="77777777" w:rsidR="001338E8" w:rsidRPr="00745DE8" w:rsidRDefault="001338E8" w:rsidP="000153CB">
            <w:pPr>
              <w:widowControl w:val="0"/>
              <w:ind w:right="102"/>
              <w:contextualSpacing/>
              <w:jc w:val="both"/>
              <w:textAlignment w:val="baseline"/>
              <w:rPr>
                <w:b/>
                <w:bCs/>
                <w:szCs w:val="24"/>
              </w:rPr>
            </w:pPr>
            <w:r>
              <w:rPr>
                <w:szCs w:val="24"/>
              </w:rPr>
              <w:t xml:space="preserve">Saistošo noteikumu piemērošanā tiks iesaistītas pašvaldības izglītības iestādes, </w:t>
            </w:r>
            <w:r w:rsidRPr="00722EAA">
              <w:rPr>
                <w:szCs w:val="24"/>
              </w:rPr>
              <w:t>neveidojot jaunas darba vietas.</w:t>
            </w:r>
            <w:r>
              <w:rPr>
                <w:szCs w:val="24"/>
              </w:rPr>
              <w:t xml:space="preserve"> </w:t>
            </w:r>
          </w:p>
        </w:tc>
      </w:tr>
      <w:tr w:rsidR="001338E8" w:rsidRPr="005E2495" w14:paraId="1F341B8B" w14:textId="77777777" w:rsidTr="00165E1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AB6059" w14:textId="77777777" w:rsidR="001338E8" w:rsidRPr="00A25018" w:rsidRDefault="001338E8" w:rsidP="001338E8">
            <w:pPr>
              <w:widowControl w:val="0"/>
              <w:numPr>
                <w:ilvl w:val="0"/>
                <w:numId w:val="7"/>
              </w:numPr>
              <w:ind w:left="392" w:right="39" w:hanging="284"/>
              <w:textAlignment w:val="baseline"/>
              <w:rPr>
                <w:szCs w:val="24"/>
              </w:rPr>
            </w:pPr>
            <w:r w:rsidRPr="00A25018">
              <w:rPr>
                <w:szCs w:val="24"/>
              </w:rPr>
              <w:t>Informācija par izpildes nodrošināšanu: </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9BFC89" w14:textId="77777777" w:rsidR="001338E8" w:rsidRPr="00A25018" w:rsidRDefault="001338E8" w:rsidP="000153CB">
            <w:pPr>
              <w:widowControl w:val="0"/>
              <w:ind w:right="102"/>
              <w:contextualSpacing/>
              <w:jc w:val="both"/>
              <w:textAlignment w:val="baseline"/>
              <w:rPr>
                <w:szCs w:val="24"/>
              </w:rPr>
            </w:pPr>
            <w:r>
              <w:rPr>
                <w:szCs w:val="24"/>
              </w:rPr>
              <w:t>S</w:t>
            </w:r>
            <w:r w:rsidRPr="00745DE8">
              <w:rPr>
                <w:szCs w:val="24"/>
              </w:rPr>
              <w:t>aistošie noteikumi neparedz veidot jaunas institūcijas</w:t>
            </w:r>
            <w:r>
              <w:rPr>
                <w:szCs w:val="24"/>
              </w:rPr>
              <w:t>. Saistošo noteikumu piemērošanā paredzēts iesaistīt Izglītības pārvaldi, Centrālo administrāciju.</w:t>
            </w:r>
          </w:p>
        </w:tc>
      </w:tr>
      <w:tr w:rsidR="001338E8" w:rsidRPr="005E2495" w14:paraId="1122CBF2" w14:textId="77777777" w:rsidTr="00165E1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115C12" w14:textId="77777777" w:rsidR="001338E8" w:rsidRPr="00A25018" w:rsidRDefault="001338E8" w:rsidP="001338E8">
            <w:pPr>
              <w:widowControl w:val="0"/>
              <w:numPr>
                <w:ilvl w:val="0"/>
                <w:numId w:val="8"/>
              </w:numPr>
              <w:ind w:left="392" w:right="39" w:hanging="284"/>
              <w:textAlignment w:val="baseline"/>
              <w:rPr>
                <w:szCs w:val="24"/>
              </w:rPr>
            </w:pPr>
            <w:r w:rsidRPr="00A25018">
              <w:rPr>
                <w:szCs w:val="24"/>
              </w:rPr>
              <w:t>Prasību un izmaksu samērīgums pret ieguvumiem, ko sniedz mērķa sasniegšana </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05D757" w14:textId="77777777" w:rsidR="001338E8" w:rsidRPr="006838A0" w:rsidRDefault="001338E8" w:rsidP="000153CB">
            <w:pPr>
              <w:widowControl w:val="0"/>
              <w:ind w:right="102"/>
              <w:jc w:val="both"/>
              <w:textAlignment w:val="baseline"/>
              <w:rPr>
                <w:szCs w:val="24"/>
              </w:rPr>
            </w:pPr>
            <w:r w:rsidRPr="00C03E4C">
              <w:rPr>
                <w:szCs w:val="24"/>
              </w:rPr>
              <w:t>Paredzamie izdevumi ir samērīgi saistošo noteikumu mērķa sasniegšanai pašvaldības autonomo funkciju un brīvprātīgo iniciatīvu izpildē.</w:t>
            </w:r>
          </w:p>
        </w:tc>
      </w:tr>
      <w:tr w:rsidR="001338E8" w:rsidRPr="005E2495" w14:paraId="63B01B3C" w14:textId="77777777" w:rsidTr="00165E1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F6C43F" w14:textId="77777777" w:rsidR="001338E8" w:rsidRPr="00A25018" w:rsidRDefault="001338E8" w:rsidP="001338E8">
            <w:pPr>
              <w:widowControl w:val="0"/>
              <w:numPr>
                <w:ilvl w:val="0"/>
                <w:numId w:val="9"/>
              </w:numPr>
              <w:ind w:left="392" w:right="39" w:hanging="284"/>
              <w:textAlignment w:val="baseline"/>
              <w:rPr>
                <w:szCs w:val="24"/>
              </w:rPr>
            </w:pPr>
            <w:r w:rsidRPr="00A25018">
              <w:rPr>
                <w:szCs w:val="24"/>
              </w:rPr>
              <w:t>Izstrādes gaitā veiktās konsultācijas ar privātpersonām un institūcijām </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D3B413" w14:textId="172A6F4A" w:rsidR="001338E8" w:rsidRPr="00A25018" w:rsidRDefault="001338E8" w:rsidP="000153CB">
            <w:pPr>
              <w:contextualSpacing/>
              <w:jc w:val="both"/>
            </w:pPr>
            <w:r>
              <w:rPr>
                <w:rFonts w:eastAsia="Calibri"/>
                <w:color w:val="000000" w:themeColor="text1"/>
                <w:szCs w:val="24"/>
              </w:rPr>
              <w:t>S</w:t>
            </w:r>
            <w:r w:rsidRPr="00745DE8">
              <w:rPr>
                <w:rFonts w:eastAsia="Calibri"/>
                <w:color w:val="000000" w:themeColor="text1"/>
                <w:szCs w:val="24"/>
              </w:rPr>
              <w:t xml:space="preserve">aistošo noteikumu izstrādes </w:t>
            </w:r>
            <w:r>
              <w:rPr>
                <w:rFonts w:eastAsia="Calibri"/>
                <w:color w:val="000000" w:themeColor="text1"/>
                <w:szCs w:val="24"/>
              </w:rPr>
              <w:t>procesā</w:t>
            </w:r>
            <w:r w:rsidRPr="00745DE8">
              <w:rPr>
                <w:rFonts w:eastAsia="Calibri"/>
                <w:color w:val="000000" w:themeColor="text1"/>
                <w:szCs w:val="24"/>
              </w:rPr>
              <w:t xml:space="preserve"> </w:t>
            </w:r>
            <w:r>
              <w:rPr>
                <w:rFonts w:eastAsia="Calibri"/>
                <w:color w:val="000000" w:themeColor="text1"/>
                <w:szCs w:val="24"/>
              </w:rPr>
              <w:t>nav notikušas konsultācijas ar sabiedrības pārstāvjiem. A</w:t>
            </w:r>
            <w:r w:rsidRPr="00745DE8">
              <w:rPr>
                <w:rFonts w:eastAsia="Calibri"/>
                <w:color w:val="000000" w:themeColor="text1"/>
                <w:szCs w:val="24"/>
              </w:rPr>
              <w:t xml:space="preserve">tbilstoši Pašvaldību likuma 46. panta trešajai daļai saistošo noteikumu projekts </w:t>
            </w:r>
            <w:r w:rsidRPr="00745DE8">
              <w:t xml:space="preserve">un to paskaidrojuma raksts sabiedrības viedokļa noskaidrošanai no </w:t>
            </w:r>
            <w:r w:rsidR="00A60DAC">
              <w:t xml:space="preserve">02.02.2024. </w:t>
            </w:r>
            <w:r w:rsidRPr="00745DE8">
              <w:t>līdz  </w:t>
            </w:r>
            <w:r w:rsidR="00A60DAC">
              <w:t>16.02.2024.</w:t>
            </w:r>
            <w:r w:rsidR="00A60DAC" w:rsidRPr="00745DE8">
              <w:t xml:space="preserve"> </w:t>
            </w:r>
            <w:r w:rsidRPr="00745DE8">
              <w:t xml:space="preserve">publicēts pašvaldības </w:t>
            </w:r>
            <w:r w:rsidRPr="00745DE8">
              <w:lastRenderedPageBreak/>
              <w:t xml:space="preserve">oficiālajā tīmekļvietnē </w:t>
            </w:r>
            <w:hyperlink r:id="rId5" w:history="1">
              <w:r w:rsidRPr="00745DE8">
                <w:rPr>
                  <w:color w:val="0563C1" w:themeColor="hyperlink"/>
                  <w:u w:val="single"/>
                </w:rPr>
                <w:t>www.aluksne.lv</w:t>
              </w:r>
            </w:hyperlink>
            <w:r w:rsidRPr="00745DE8">
              <w:t xml:space="preserve"> </w:t>
            </w:r>
            <w:r w:rsidRPr="00745DE8">
              <w:rPr>
                <w:rFonts w:eastAsia="Calibri"/>
                <w:color w:val="000000" w:themeColor="text1"/>
                <w:szCs w:val="24"/>
              </w:rPr>
              <w:t xml:space="preserve">sadaļā </w:t>
            </w:r>
            <w:r w:rsidRPr="00745DE8">
              <w:rPr>
                <w:rFonts w:eastAsia="Calibri"/>
                <w:i/>
                <w:iCs/>
                <w:szCs w:val="24"/>
              </w:rPr>
              <w:t xml:space="preserve">Sabiedrība/Sabiedrības līdzdalība/Viedokļa izteikšana par saistošo noteikumu </w:t>
            </w:r>
            <w:r w:rsidRPr="00745DE8">
              <w:rPr>
                <w:rFonts w:eastAsia="Calibri"/>
                <w:szCs w:val="24"/>
              </w:rPr>
              <w:t xml:space="preserve">projektiem. </w:t>
            </w:r>
          </w:p>
        </w:tc>
      </w:tr>
      <w:tr w:rsidR="00A60DAC" w:rsidRPr="005E2495" w14:paraId="1CC75AAC" w14:textId="77777777" w:rsidTr="00165E1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E5F0760" w14:textId="32DF9D44" w:rsidR="00A60DAC" w:rsidRPr="00A25018" w:rsidRDefault="00A60DAC" w:rsidP="001338E8">
            <w:pPr>
              <w:widowControl w:val="0"/>
              <w:numPr>
                <w:ilvl w:val="0"/>
                <w:numId w:val="9"/>
              </w:numPr>
              <w:ind w:left="392" w:right="39" w:hanging="284"/>
              <w:textAlignment w:val="baseline"/>
              <w:rPr>
                <w:szCs w:val="24"/>
              </w:rPr>
            </w:pPr>
            <w:r w:rsidRPr="00FD211B">
              <w:rPr>
                <w:color w:val="000000" w:themeColor="text1"/>
              </w:rPr>
              <w:lastRenderedPageBreak/>
              <w:t>Informācija par sabiedrības izteiktajiem viedokļiem par saistošo noteikumu projektu</w:t>
            </w:r>
          </w:p>
        </w:tc>
        <w:tc>
          <w:tcPr>
            <w:tcW w:w="75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EAAE2B1" w14:textId="64A9A52D" w:rsidR="00A60DAC" w:rsidRDefault="00A60DAC" w:rsidP="000153CB">
            <w:pPr>
              <w:contextualSpacing/>
              <w:jc w:val="both"/>
              <w:rPr>
                <w:rFonts w:eastAsia="Calibri"/>
                <w:color w:val="000000" w:themeColor="text1"/>
                <w:szCs w:val="24"/>
              </w:rPr>
            </w:pPr>
            <w:r w:rsidRPr="00FD211B">
              <w:rPr>
                <w:rFonts w:eastAsia="Calibri"/>
                <w:color w:val="000000" w:themeColor="text1"/>
                <w:szCs w:val="24"/>
              </w:rPr>
              <w:t>Sabiedrības viedoklis par saistošo noteikumu projektu un to paskaidrojuma rakstu nav saņemts.</w:t>
            </w:r>
          </w:p>
        </w:tc>
      </w:tr>
    </w:tbl>
    <w:p w14:paraId="0E134C99" w14:textId="77777777" w:rsidR="000130D1" w:rsidRDefault="000130D1" w:rsidP="000130D1"/>
    <w:sectPr w:rsidR="000130D1" w:rsidSect="00165E14">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F16"/>
    <w:multiLevelType w:val="multilevel"/>
    <w:tmpl w:val="8AB83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C57A0"/>
    <w:multiLevelType w:val="multilevel"/>
    <w:tmpl w:val="20DC0504"/>
    <w:lvl w:ilvl="0">
      <w:start w:val="1"/>
      <w:numFmt w:val="decimal"/>
      <w:lvlText w:val="%1."/>
      <w:lvlJc w:val="left"/>
      <w:pPr>
        <w:tabs>
          <w:tab w:val="num" w:pos="1483"/>
        </w:tabs>
        <w:ind w:left="1483" w:hanging="360"/>
      </w:pPr>
      <w:rPr>
        <w:b w:val="0"/>
        <w:bCs w:val="0"/>
      </w:rPr>
    </w:lvl>
    <w:lvl w:ilvl="1" w:tentative="1">
      <w:start w:val="1"/>
      <w:numFmt w:val="decimal"/>
      <w:lvlText w:val="%2."/>
      <w:lvlJc w:val="left"/>
      <w:pPr>
        <w:tabs>
          <w:tab w:val="num" w:pos="2203"/>
        </w:tabs>
        <w:ind w:left="2203" w:hanging="360"/>
      </w:pPr>
    </w:lvl>
    <w:lvl w:ilvl="2" w:tentative="1">
      <w:start w:val="1"/>
      <w:numFmt w:val="decimal"/>
      <w:lvlText w:val="%3."/>
      <w:lvlJc w:val="left"/>
      <w:pPr>
        <w:tabs>
          <w:tab w:val="num" w:pos="2923"/>
        </w:tabs>
        <w:ind w:left="2923" w:hanging="360"/>
      </w:pPr>
    </w:lvl>
    <w:lvl w:ilvl="3" w:tentative="1">
      <w:start w:val="1"/>
      <w:numFmt w:val="decimal"/>
      <w:lvlText w:val="%4."/>
      <w:lvlJc w:val="left"/>
      <w:pPr>
        <w:tabs>
          <w:tab w:val="num" w:pos="3643"/>
        </w:tabs>
        <w:ind w:left="3643" w:hanging="360"/>
      </w:pPr>
    </w:lvl>
    <w:lvl w:ilvl="4" w:tentative="1">
      <w:start w:val="1"/>
      <w:numFmt w:val="decimal"/>
      <w:lvlText w:val="%5."/>
      <w:lvlJc w:val="left"/>
      <w:pPr>
        <w:tabs>
          <w:tab w:val="num" w:pos="4363"/>
        </w:tabs>
        <w:ind w:left="4363" w:hanging="360"/>
      </w:pPr>
    </w:lvl>
    <w:lvl w:ilvl="5" w:tentative="1">
      <w:start w:val="1"/>
      <w:numFmt w:val="decimal"/>
      <w:lvlText w:val="%6."/>
      <w:lvlJc w:val="left"/>
      <w:pPr>
        <w:tabs>
          <w:tab w:val="num" w:pos="5083"/>
        </w:tabs>
        <w:ind w:left="5083" w:hanging="360"/>
      </w:pPr>
    </w:lvl>
    <w:lvl w:ilvl="6" w:tentative="1">
      <w:start w:val="1"/>
      <w:numFmt w:val="decimal"/>
      <w:lvlText w:val="%7."/>
      <w:lvlJc w:val="left"/>
      <w:pPr>
        <w:tabs>
          <w:tab w:val="num" w:pos="5803"/>
        </w:tabs>
        <w:ind w:left="5803" w:hanging="360"/>
      </w:pPr>
    </w:lvl>
    <w:lvl w:ilvl="7" w:tentative="1">
      <w:start w:val="1"/>
      <w:numFmt w:val="decimal"/>
      <w:lvlText w:val="%8."/>
      <w:lvlJc w:val="left"/>
      <w:pPr>
        <w:tabs>
          <w:tab w:val="num" w:pos="6523"/>
        </w:tabs>
        <w:ind w:left="6523" w:hanging="360"/>
      </w:pPr>
    </w:lvl>
    <w:lvl w:ilvl="8" w:tentative="1">
      <w:start w:val="1"/>
      <w:numFmt w:val="decimal"/>
      <w:lvlText w:val="%9."/>
      <w:lvlJc w:val="left"/>
      <w:pPr>
        <w:tabs>
          <w:tab w:val="num" w:pos="7243"/>
        </w:tabs>
        <w:ind w:left="7243" w:hanging="360"/>
      </w:pPr>
    </w:lvl>
  </w:abstractNum>
  <w:abstractNum w:abstractNumId="3"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3577939"/>
    <w:multiLevelType w:val="hybridMultilevel"/>
    <w:tmpl w:val="62C21E60"/>
    <w:lvl w:ilvl="0" w:tplc="521C52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83BD7"/>
    <w:multiLevelType w:val="multilevel"/>
    <w:tmpl w:val="75360C8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6645989">
    <w:abstractNumId w:val="4"/>
  </w:num>
  <w:num w:numId="2" w16cid:durableId="623393275">
    <w:abstractNumId w:val="2"/>
  </w:num>
  <w:num w:numId="3" w16cid:durableId="553584396">
    <w:abstractNumId w:val="6"/>
  </w:num>
  <w:num w:numId="4" w16cid:durableId="166412336">
    <w:abstractNumId w:val="5"/>
  </w:num>
  <w:num w:numId="5" w16cid:durableId="604582200">
    <w:abstractNumId w:val="8"/>
  </w:num>
  <w:num w:numId="6" w16cid:durableId="1988240904">
    <w:abstractNumId w:val="10"/>
  </w:num>
  <w:num w:numId="7" w16cid:durableId="979918655">
    <w:abstractNumId w:val="7"/>
  </w:num>
  <w:num w:numId="8" w16cid:durableId="1023440121">
    <w:abstractNumId w:val="1"/>
  </w:num>
  <w:num w:numId="9" w16cid:durableId="1048526000">
    <w:abstractNumId w:val="9"/>
  </w:num>
  <w:num w:numId="10" w16cid:durableId="1987736455">
    <w:abstractNumId w:val="3"/>
  </w:num>
  <w:num w:numId="11" w16cid:durableId="116778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DC"/>
    <w:rsid w:val="000130D1"/>
    <w:rsid w:val="00093E5B"/>
    <w:rsid w:val="000F75EA"/>
    <w:rsid w:val="001338E8"/>
    <w:rsid w:val="00165E14"/>
    <w:rsid w:val="001D39CA"/>
    <w:rsid w:val="00260C12"/>
    <w:rsid w:val="0042183D"/>
    <w:rsid w:val="004A5A89"/>
    <w:rsid w:val="004C5BDC"/>
    <w:rsid w:val="005B4665"/>
    <w:rsid w:val="00602DA0"/>
    <w:rsid w:val="007B460F"/>
    <w:rsid w:val="008572AC"/>
    <w:rsid w:val="00A60DAC"/>
    <w:rsid w:val="00AD2F6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70B9"/>
  <w15:chartTrackingRefBased/>
  <w15:docId w15:val="{D471ABB5-FE1D-4434-B4E4-C52CABD2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130D1"/>
    <w:pPr>
      <w:spacing w:after="0" w:line="240" w:lineRule="auto"/>
    </w:pPr>
    <w:rPr>
      <w:rFonts w:eastAsia="Times New Roman" w:cs="Times New Roman"/>
      <w:kern w:val="0"/>
      <w:szCs w:val="24"/>
      <w:lang w:val="en-GB"/>
      <w14:ligatures w14:val="none"/>
    </w:rPr>
  </w:style>
  <w:style w:type="paragraph" w:styleId="Pamattekstsaratkpi">
    <w:name w:val="Body Text Indent"/>
    <w:basedOn w:val="Parastais"/>
    <w:link w:val="PamattekstsaratkpiRakstz"/>
    <w:rsid w:val="000130D1"/>
    <w:pPr>
      <w:spacing w:after="120"/>
      <w:ind w:left="283"/>
    </w:pPr>
  </w:style>
  <w:style w:type="character" w:customStyle="1" w:styleId="PamattekstsaratkpiRakstz">
    <w:name w:val="Pamatteksts ar atkāpi Rakstz."/>
    <w:basedOn w:val="Noklusjumarindkopasfonts"/>
    <w:link w:val="Pamattekstsaratkpi"/>
    <w:rsid w:val="000130D1"/>
    <w:rPr>
      <w:rFonts w:eastAsia="Times New Roman" w:cs="Times New Roman"/>
      <w:kern w:val="0"/>
      <w:szCs w:val="24"/>
      <w:lang w:val="en-GB"/>
      <w14:ligatures w14:val="none"/>
    </w:rPr>
  </w:style>
  <w:style w:type="character" w:styleId="Hipersaite">
    <w:name w:val="Hyperlink"/>
    <w:rsid w:val="000130D1"/>
    <w:rPr>
      <w:color w:val="0563C1"/>
      <w:u w:val="single"/>
    </w:rPr>
  </w:style>
  <w:style w:type="paragraph" w:styleId="Sarakstarindkopa">
    <w:name w:val="List Paragraph"/>
    <w:basedOn w:val="Parasts"/>
    <w:uiPriority w:val="34"/>
    <w:qFormat/>
    <w:rsid w:val="000130D1"/>
    <w:pPr>
      <w:ind w:left="720"/>
      <w:contextualSpacing/>
    </w:pPr>
  </w:style>
  <w:style w:type="paragraph" w:styleId="Prskatjums">
    <w:name w:val="Revision"/>
    <w:hidden/>
    <w:uiPriority w:val="99"/>
    <w:semiHidden/>
    <w:rsid w:val="005B4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3700</Words>
  <Characters>2110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ŅEDAIVODINA</dc:creator>
  <cp:keywords/>
  <dc:description/>
  <cp:lastModifiedBy>Everita BALANDE</cp:lastModifiedBy>
  <cp:revision>2</cp:revision>
  <cp:lastPrinted>2024-01-30T12:27:00Z</cp:lastPrinted>
  <dcterms:created xsi:type="dcterms:W3CDTF">2024-02-20T13:19:00Z</dcterms:created>
  <dcterms:modified xsi:type="dcterms:W3CDTF">2024-02-20T13:19:00Z</dcterms:modified>
</cp:coreProperties>
</file>