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96EC" w14:textId="77777777" w:rsidR="00E603E4" w:rsidRDefault="00E603E4" w:rsidP="00E603E4">
      <w:pPr>
        <w:jc w:val="right"/>
        <w:rPr>
          <w:i/>
        </w:rPr>
      </w:pPr>
      <w:r>
        <w:rPr>
          <w:i/>
        </w:rPr>
        <w:t>Lēmuma projekts</w:t>
      </w:r>
    </w:p>
    <w:p w14:paraId="3CC3A1A5" w14:textId="77777777" w:rsidR="006B24D7" w:rsidRPr="00CC17DD" w:rsidRDefault="006B24D7" w:rsidP="006B24D7"/>
    <w:p w14:paraId="3E7538F5" w14:textId="2C3C57FC" w:rsidR="00BF5B02" w:rsidRPr="00621BD8" w:rsidRDefault="00BF5B02" w:rsidP="00BF5B02">
      <w:pPr>
        <w:jc w:val="center"/>
        <w:rPr>
          <w:b/>
          <w:iCs/>
        </w:rPr>
      </w:pPr>
      <w:r w:rsidRPr="00BF5B02">
        <w:rPr>
          <w:b/>
          <w:bCs/>
        </w:rPr>
        <w:t>Par noteikumu Nr</w:t>
      </w:r>
      <w:r w:rsidR="003C75EB">
        <w:rPr>
          <w:b/>
          <w:bCs/>
        </w:rPr>
        <w:t>._</w:t>
      </w:r>
      <w:r w:rsidRPr="00BF5B02">
        <w:rPr>
          <w:b/>
          <w:bCs/>
        </w:rPr>
        <w:t>/2024</w:t>
      </w:r>
      <w:r>
        <w:rPr>
          <w:b/>
          <w:bCs/>
        </w:rPr>
        <w:t xml:space="preserve"> “</w:t>
      </w:r>
      <w:r w:rsidRPr="00621BD8">
        <w:rPr>
          <w:b/>
          <w:bCs/>
        </w:rPr>
        <w:t>Kārtībā, kādā sadala</w:t>
      </w:r>
      <w:r w:rsidRPr="00621BD8">
        <w:rPr>
          <w:b/>
          <w:iCs/>
        </w:rPr>
        <w:t xml:space="preserve"> valsts budžeta mērķdotācij</w:t>
      </w:r>
      <w:r>
        <w:rPr>
          <w:b/>
          <w:iCs/>
        </w:rPr>
        <w:t xml:space="preserve">u </w:t>
      </w:r>
      <w:r w:rsidRPr="00621BD8">
        <w:rPr>
          <w:b/>
          <w:iCs/>
        </w:rPr>
        <w:t xml:space="preserve">Alūksnes novada pašvaldības </w:t>
      </w:r>
      <w:r w:rsidRPr="00621BD8">
        <w:rPr>
          <w:rFonts w:ascii="RobustaTLPro-Regular" w:hAnsi="RobustaTLPro-Regular"/>
          <w:b/>
          <w:iCs/>
          <w:color w:val="212529"/>
          <w:sz w:val="23"/>
          <w:szCs w:val="23"/>
          <w:shd w:val="clear" w:color="auto" w:fill="FFFFFF"/>
        </w:rPr>
        <w:t> </w:t>
      </w:r>
      <w:r w:rsidRPr="00621BD8">
        <w:rPr>
          <w:b/>
          <w:iCs/>
          <w:color w:val="212529"/>
          <w:shd w:val="clear" w:color="auto" w:fill="FFFFFF"/>
        </w:rPr>
        <w:t xml:space="preserve">māksliniecisko </w:t>
      </w:r>
      <w:r w:rsidRPr="00621BD8">
        <w:rPr>
          <w:b/>
          <w:iCs/>
        </w:rPr>
        <w:t>kolektīvu vadītāju darba samaksai un valsts sociālās apdrošināšanas obligātajām iemaksām</w:t>
      </w:r>
      <w:r>
        <w:rPr>
          <w:b/>
          <w:iCs/>
        </w:rPr>
        <w:t>” apstiprināšanu</w:t>
      </w:r>
    </w:p>
    <w:p w14:paraId="5A8B7CFB" w14:textId="3216E300" w:rsidR="003239AE" w:rsidRPr="00BF5B02" w:rsidRDefault="003239AE" w:rsidP="003239AE">
      <w:pPr>
        <w:spacing w:after="120"/>
        <w:jc w:val="both"/>
        <w:rPr>
          <w:b/>
          <w:bCs/>
        </w:rPr>
      </w:pPr>
    </w:p>
    <w:p w14:paraId="34468A84" w14:textId="5DA746FD" w:rsidR="003239AE" w:rsidRDefault="00BF5B02" w:rsidP="00AC576D">
      <w:pPr>
        <w:spacing w:after="120"/>
        <w:ind w:firstLine="360"/>
        <w:jc w:val="both"/>
      </w:pPr>
      <w:r w:rsidRPr="00276DBD">
        <w:rPr>
          <w:rFonts w:eastAsia="Calibri"/>
        </w:rPr>
        <w:t>Pamatojoties uz Valsts pārvaldes iekārtas likuma 72.</w:t>
      </w:r>
      <w:r w:rsidR="003C75EB">
        <w:rPr>
          <w:rFonts w:eastAsia="Calibri"/>
        </w:rPr>
        <w:t> </w:t>
      </w:r>
      <w:r w:rsidRPr="00276DBD">
        <w:rPr>
          <w:rFonts w:eastAsia="Calibri"/>
        </w:rPr>
        <w:t>panta pirmās daļas 2.</w:t>
      </w:r>
      <w:r w:rsidR="003C75EB">
        <w:rPr>
          <w:rFonts w:eastAsia="Calibri"/>
        </w:rPr>
        <w:t> </w:t>
      </w:r>
      <w:r w:rsidRPr="00276DBD">
        <w:rPr>
          <w:rFonts w:eastAsia="Calibri"/>
        </w:rPr>
        <w:t>punktu,73.</w:t>
      </w:r>
      <w:r w:rsidR="003C75EB">
        <w:rPr>
          <w:rFonts w:eastAsia="Calibri"/>
        </w:rPr>
        <w:t> </w:t>
      </w:r>
      <w:r w:rsidRPr="00276DBD">
        <w:rPr>
          <w:rFonts w:eastAsia="Calibri"/>
        </w:rPr>
        <w:t>panta pirmās daļas 4.</w:t>
      </w:r>
      <w:r w:rsidR="003C75EB">
        <w:rPr>
          <w:rFonts w:eastAsia="Calibri"/>
        </w:rPr>
        <w:t> </w:t>
      </w:r>
      <w:r w:rsidRPr="00276DBD">
        <w:rPr>
          <w:rFonts w:eastAsia="Calibri"/>
        </w:rPr>
        <w:t>punktu</w:t>
      </w:r>
      <w:r>
        <w:rPr>
          <w:rFonts w:eastAsia="Calibri"/>
        </w:rPr>
        <w:t>,</w:t>
      </w:r>
      <w:r w:rsidR="00AC576D">
        <w:t xml:space="preserve"> Ministru kabineta </w:t>
      </w:r>
      <w:r>
        <w:t>2015.</w:t>
      </w:r>
      <w:r w:rsidR="003C75EB">
        <w:t> </w:t>
      </w:r>
      <w:r>
        <w:t>gada 17.</w:t>
      </w:r>
      <w:r w:rsidR="003C75EB">
        <w:t> </w:t>
      </w:r>
      <w:r>
        <w:t xml:space="preserve">novembra </w:t>
      </w:r>
      <w:r w:rsidR="00AC576D">
        <w:t>noteikumiem Nr.</w:t>
      </w:r>
      <w:r w:rsidR="003C75EB">
        <w:t> </w:t>
      </w:r>
      <w:r w:rsidR="00AC576D">
        <w:t xml:space="preserve">649 </w:t>
      </w:r>
      <w:r w:rsidR="003C75EB">
        <w:t>“</w:t>
      </w:r>
      <w:r w:rsidR="00AC576D">
        <w:t>Kārtība, kādā pašvaldībām aprēķina un sadala valsts budžeta mērķdotāciju māksliniecisko kolektīvu vadītāju darba samaksai un valsts sociālās apdrošināšanas obligātajām iemaksām”</w:t>
      </w:r>
      <w:r w:rsidR="003C75EB">
        <w:t>,</w:t>
      </w:r>
    </w:p>
    <w:p w14:paraId="113CC1EC" w14:textId="09F0C30B" w:rsidR="0001209E" w:rsidRPr="003202D5" w:rsidRDefault="0001209E" w:rsidP="0001209E">
      <w:pPr>
        <w:numPr>
          <w:ilvl w:val="0"/>
          <w:numId w:val="1"/>
        </w:numPr>
        <w:jc w:val="both"/>
      </w:pPr>
      <w:r>
        <w:t>Apstiprināt no</w:t>
      </w:r>
      <w:r w:rsidR="003239AE">
        <w:t>teikumus</w:t>
      </w:r>
      <w:r w:rsidR="00BF5B02">
        <w:t xml:space="preserve"> Nr</w:t>
      </w:r>
      <w:r w:rsidR="003C75EB">
        <w:t>._</w:t>
      </w:r>
      <w:r w:rsidR="00BF5B02">
        <w:t>/2024</w:t>
      </w:r>
      <w:r>
        <w:t xml:space="preserve"> </w:t>
      </w:r>
      <w:r w:rsidR="003C75EB">
        <w:t>“</w:t>
      </w:r>
      <w:r w:rsidR="003202D5" w:rsidRPr="003202D5">
        <w:t>Kārtībā, kādā sadala</w:t>
      </w:r>
      <w:r w:rsidR="003202D5" w:rsidRPr="003202D5">
        <w:rPr>
          <w:iCs/>
        </w:rPr>
        <w:t xml:space="preserve"> valsts budžeta mērķdotāciju Alūksnes novada pašvaldības </w:t>
      </w:r>
      <w:r w:rsidR="003202D5" w:rsidRPr="003202D5">
        <w:rPr>
          <w:rFonts w:ascii="RobustaTLPro-Regular" w:hAnsi="RobustaTLPro-Regular"/>
          <w:iCs/>
          <w:color w:val="212529"/>
          <w:sz w:val="23"/>
          <w:szCs w:val="23"/>
          <w:shd w:val="clear" w:color="auto" w:fill="FFFFFF"/>
        </w:rPr>
        <w:t> </w:t>
      </w:r>
      <w:r w:rsidR="003202D5" w:rsidRPr="003202D5">
        <w:rPr>
          <w:iCs/>
          <w:color w:val="212529"/>
          <w:shd w:val="clear" w:color="auto" w:fill="FFFFFF"/>
        </w:rPr>
        <w:t xml:space="preserve">māksliniecisko </w:t>
      </w:r>
      <w:r w:rsidR="003202D5" w:rsidRPr="003202D5">
        <w:rPr>
          <w:iCs/>
        </w:rPr>
        <w:t>kolektīvu vadītāju darba samaksai un valsts sociālās apdrošināšanas obligātajām iemaksām”</w:t>
      </w:r>
      <w:r w:rsidR="003239AE" w:rsidRPr="003202D5">
        <w:t>.</w:t>
      </w:r>
    </w:p>
    <w:p w14:paraId="62E837A6" w14:textId="472C78DB" w:rsidR="00E603E4" w:rsidRDefault="00BF5B02" w:rsidP="0001209E">
      <w:pPr>
        <w:numPr>
          <w:ilvl w:val="0"/>
          <w:numId w:val="1"/>
        </w:numPr>
        <w:jc w:val="both"/>
      </w:pPr>
      <w:r>
        <w:t>Atzīt par spēku zaudējušu</w:t>
      </w:r>
      <w:r w:rsidR="00E603E4">
        <w:t xml:space="preserve"> Alūksnes novada </w:t>
      </w:r>
      <w:r>
        <w:t xml:space="preserve">pašvaldības </w:t>
      </w:r>
      <w:r w:rsidR="00E603E4">
        <w:t>domes 28.02.2013. lēmum</w:t>
      </w:r>
      <w:r>
        <w:t>u</w:t>
      </w:r>
      <w:r w:rsidR="00E603E4">
        <w:t xml:space="preserve"> Nr.</w:t>
      </w:r>
      <w:r w:rsidR="003C75EB">
        <w:t> </w:t>
      </w:r>
      <w:r w:rsidR="00E603E4">
        <w:t>61 “Par</w:t>
      </w:r>
      <w:r w:rsidR="00CF09F7">
        <w:t xml:space="preserve"> </w:t>
      </w:r>
      <w:r w:rsidR="00E603E4">
        <w:t xml:space="preserve">noteikumu </w:t>
      </w:r>
      <w:r w:rsidR="003C75EB">
        <w:t>Nr. </w:t>
      </w:r>
      <w:r w:rsidR="00E603E4">
        <w:t>1/2013 “</w:t>
      </w:r>
      <w:r w:rsidR="00CF09F7">
        <w:t>Par m</w:t>
      </w:r>
      <w:r w:rsidR="00E603E4">
        <w:t xml:space="preserve">ērķdotācijas sadali </w:t>
      </w:r>
      <w:r w:rsidR="00CF09F7">
        <w:t xml:space="preserve">Alūksnes novada </w:t>
      </w:r>
      <w:r w:rsidR="00E603E4">
        <w:t>pašvaldīb</w:t>
      </w:r>
      <w:r w:rsidR="00CF09F7">
        <w:t>as</w:t>
      </w:r>
      <w:r w:rsidR="00E603E4">
        <w:t xml:space="preserve"> </w:t>
      </w:r>
      <w:r w:rsidR="00CF09F7">
        <w:t>māksliniecisko</w:t>
      </w:r>
      <w:r w:rsidR="00E603E4">
        <w:t xml:space="preserve"> kolektīvu vadītāju darba samaksai un valsts sociālās apdrošināšanas obligātajām iemaksām</w:t>
      </w:r>
      <w:r w:rsidR="003C75EB">
        <w:t>”</w:t>
      </w:r>
      <w:r w:rsidR="00CF09F7">
        <w:t xml:space="preserve"> </w:t>
      </w:r>
      <w:r>
        <w:t>apstiprināšanu</w:t>
      </w:r>
      <w:r w:rsidR="00CF09F7">
        <w:t>”.</w:t>
      </w:r>
    </w:p>
    <w:p w14:paraId="7F63DA47" w14:textId="5053C52B" w:rsidR="003239AE" w:rsidRPr="00D543AE" w:rsidRDefault="00D543AE" w:rsidP="00D543AE">
      <w:pPr>
        <w:jc w:val="right"/>
        <w:rPr>
          <w:i/>
          <w:iCs/>
        </w:rPr>
      </w:pPr>
      <w:r w:rsidRPr="00D543AE">
        <w:rPr>
          <w:i/>
          <w:iCs/>
        </w:rPr>
        <w:t>Projekts</w:t>
      </w:r>
    </w:p>
    <w:p w14:paraId="07A010C1" w14:textId="77777777" w:rsidR="00D543AE" w:rsidRDefault="00D543AE" w:rsidP="00BF5B02">
      <w:pPr>
        <w:jc w:val="center"/>
        <w:rPr>
          <w:b/>
          <w:bCs/>
        </w:rPr>
      </w:pPr>
    </w:p>
    <w:p w14:paraId="74F2A56C" w14:textId="081ACFBC" w:rsidR="00BF5B02" w:rsidRDefault="00BF5B02" w:rsidP="00BF5B02">
      <w:pPr>
        <w:jc w:val="center"/>
        <w:rPr>
          <w:b/>
          <w:bCs/>
        </w:rPr>
      </w:pPr>
      <w:r w:rsidRPr="00920F26">
        <w:rPr>
          <w:b/>
          <w:bCs/>
        </w:rPr>
        <w:t>NOTEIKUMI Nr. …/2024</w:t>
      </w:r>
    </w:p>
    <w:p w14:paraId="1BC10D7B" w14:textId="77777777" w:rsidR="00BF5B02" w:rsidRDefault="00BF5B02" w:rsidP="00BF5B02">
      <w:pPr>
        <w:jc w:val="right"/>
      </w:pPr>
    </w:p>
    <w:p w14:paraId="582EFB3A" w14:textId="77777777" w:rsidR="00BF5B02" w:rsidRDefault="00BF5B02" w:rsidP="00BF5B02">
      <w:pPr>
        <w:jc w:val="right"/>
      </w:pPr>
      <w:r>
        <w:t>APSTIPRINĀTI</w:t>
      </w:r>
    </w:p>
    <w:p w14:paraId="1D68CE38" w14:textId="061A434B" w:rsidR="00BF5B02" w:rsidRDefault="003C75EB" w:rsidP="00BF5B02">
      <w:pPr>
        <w:jc w:val="right"/>
      </w:pPr>
      <w:r>
        <w:t>a</w:t>
      </w:r>
      <w:r w:rsidR="00BF5B02">
        <w:t>r Alūksnes novada pašvaldības domes</w:t>
      </w:r>
    </w:p>
    <w:p w14:paraId="58BBEE45" w14:textId="2B3A19C3" w:rsidR="00BF5B02" w:rsidRDefault="00BF5B02" w:rsidP="00BF5B02">
      <w:pPr>
        <w:jc w:val="right"/>
      </w:pPr>
      <w:r>
        <w:t>2024.</w:t>
      </w:r>
      <w:r w:rsidR="003C75EB">
        <w:t> </w:t>
      </w:r>
      <w:r>
        <w:t>gada 30.</w:t>
      </w:r>
      <w:r w:rsidR="003C75EB">
        <w:t> </w:t>
      </w:r>
      <w:r>
        <w:t xml:space="preserve">maija lēmumu </w:t>
      </w:r>
      <w:proofErr w:type="spellStart"/>
      <w:r>
        <w:t>Nr</w:t>
      </w:r>
      <w:proofErr w:type="spellEnd"/>
      <w:r>
        <w:t>…..</w:t>
      </w:r>
    </w:p>
    <w:p w14:paraId="3CB0A22F" w14:textId="77777777" w:rsidR="00BF5B02" w:rsidRDefault="00BF5B02" w:rsidP="00BF5B02">
      <w:pPr>
        <w:jc w:val="right"/>
      </w:pPr>
      <w:r>
        <w:t xml:space="preserve">(protokols </w:t>
      </w:r>
      <w:proofErr w:type="spellStart"/>
      <w:r>
        <w:t>Nr</w:t>
      </w:r>
      <w:proofErr w:type="spellEnd"/>
      <w:r>
        <w:t>…, …punkts)</w:t>
      </w:r>
    </w:p>
    <w:p w14:paraId="5F4ACC19" w14:textId="77777777" w:rsidR="00BF5B02" w:rsidRPr="00920F26" w:rsidRDefault="00BF5B02" w:rsidP="00BF5B02">
      <w:pPr>
        <w:jc w:val="right"/>
      </w:pPr>
    </w:p>
    <w:p w14:paraId="5384D1EB" w14:textId="77777777" w:rsidR="00BF5B02" w:rsidRPr="00621BD8" w:rsidRDefault="00BF5B02" w:rsidP="00BF5B02">
      <w:pPr>
        <w:jc w:val="center"/>
        <w:rPr>
          <w:b/>
          <w:iCs/>
        </w:rPr>
      </w:pPr>
      <w:r w:rsidRPr="00621BD8">
        <w:rPr>
          <w:b/>
          <w:bCs/>
        </w:rPr>
        <w:t>Kārtībā, kādā sadala</w:t>
      </w:r>
      <w:r w:rsidRPr="00621BD8">
        <w:rPr>
          <w:b/>
          <w:iCs/>
        </w:rPr>
        <w:t xml:space="preserve"> valsts budžeta mērķdotācij</w:t>
      </w:r>
      <w:r>
        <w:rPr>
          <w:b/>
          <w:iCs/>
        </w:rPr>
        <w:t xml:space="preserve">u </w:t>
      </w:r>
      <w:r w:rsidRPr="00621BD8">
        <w:rPr>
          <w:b/>
          <w:iCs/>
        </w:rPr>
        <w:t xml:space="preserve">Alūksnes novada pašvaldības </w:t>
      </w:r>
      <w:r w:rsidRPr="00621BD8">
        <w:rPr>
          <w:rFonts w:ascii="RobustaTLPro-Regular" w:hAnsi="RobustaTLPro-Regular"/>
          <w:b/>
          <w:iCs/>
          <w:color w:val="212529"/>
          <w:sz w:val="23"/>
          <w:szCs w:val="23"/>
          <w:shd w:val="clear" w:color="auto" w:fill="FFFFFF"/>
        </w:rPr>
        <w:t> </w:t>
      </w:r>
      <w:r w:rsidRPr="00621BD8">
        <w:rPr>
          <w:b/>
          <w:iCs/>
          <w:color w:val="212529"/>
          <w:shd w:val="clear" w:color="auto" w:fill="FFFFFF"/>
        </w:rPr>
        <w:t xml:space="preserve">māksliniecisko </w:t>
      </w:r>
      <w:r w:rsidRPr="00621BD8">
        <w:rPr>
          <w:b/>
          <w:iCs/>
        </w:rPr>
        <w:t xml:space="preserve">kolektīvu vadītāju darba samaksai un valsts sociālās apdrošināšanas obligātajām iemaksām </w:t>
      </w:r>
    </w:p>
    <w:p w14:paraId="2F1EE9DC" w14:textId="77777777" w:rsidR="00BF5B02" w:rsidRDefault="00BF5B02" w:rsidP="00BF5B02"/>
    <w:p w14:paraId="4FFE62AE" w14:textId="77777777" w:rsidR="00BF5B02" w:rsidRPr="00EA7585" w:rsidRDefault="00BF5B02" w:rsidP="00BF5B02">
      <w:pPr>
        <w:jc w:val="center"/>
        <w:rPr>
          <w:b/>
        </w:rPr>
      </w:pPr>
      <w:r>
        <w:rPr>
          <w:b/>
        </w:rPr>
        <w:t>I.</w:t>
      </w:r>
      <w:r w:rsidRPr="00EA7585">
        <w:rPr>
          <w:b/>
        </w:rPr>
        <w:t xml:space="preserve"> Vispārīgā daļa</w:t>
      </w:r>
    </w:p>
    <w:p w14:paraId="6D1C8B2B" w14:textId="77777777" w:rsidR="00BF5B02" w:rsidRDefault="00BF5B02" w:rsidP="00BF5B02"/>
    <w:p w14:paraId="7B13E847" w14:textId="048942B7" w:rsidR="00BF5B02" w:rsidRDefault="00BF5B02" w:rsidP="00BF5B02">
      <w:pPr>
        <w:numPr>
          <w:ilvl w:val="1"/>
          <w:numId w:val="2"/>
        </w:numPr>
        <w:spacing w:after="120"/>
        <w:jc w:val="both"/>
      </w:pPr>
      <w:r>
        <w:t>Noteikumi nosaka kārtību, kādā tiek aprēķināta un sadalīta valsts budžeta mērķdotācija (turpmāk</w:t>
      </w:r>
      <w:r w:rsidR="003C75EB">
        <w:t> –</w:t>
      </w:r>
      <w:r>
        <w:t xml:space="preserve"> mērķdotācija) Alūksnes novada pašvaldības</w:t>
      </w:r>
      <w:r w:rsidRPr="00621BD8">
        <w:rPr>
          <w:rFonts w:ascii="RobustaTLPro-Regular" w:hAnsi="RobustaTLPro-Regular"/>
          <w:b/>
          <w:iCs/>
          <w:color w:val="212529"/>
          <w:sz w:val="23"/>
          <w:szCs w:val="23"/>
          <w:shd w:val="clear" w:color="auto" w:fill="FFFFFF"/>
        </w:rPr>
        <w:t> </w:t>
      </w:r>
      <w:r w:rsidRPr="00621BD8">
        <w:rPr>
          <w:bCs/>
          <w:iCs/>
          <w:color w:val="212529"/>
          <w:shd w:val="clear" w:color="auto" w:fill="FFFFFF"/>
        </w:rPr>
        <w:t>māksliniecisko</w:t>
      </w:r>
      <w:r>
        <w:t xml:space="preserve"> kolektīvu (turpmāk</w:t>
      </w:r>
      <w:r w:rsidR="003C75EB">
        <w:t xml:space="preserve"> –</w:t>
      </w:r>
      <w:r>
        <w:t xml:space="preserve"> kolektīvi) vadītāju darba samaksai un valsts sociālās apdrošināšanas obligātajām iemaksām (turpmāk – noteikumi).</w:t>
      </w:r>
    </w:p>
    <w:p w14:paraId="45C2EF24" w14:textId="5BB2CB41" w:rsidR="00BF5B02" w:rsidRDefault="00BF5B02" w:rsidP="00BF5B02">
      <w:pPr>
        <w:numPr>
          <w:ilvl w:val="1"/>
          <w:numId w:val="2"/>
        </w:numPr>
        <w:spacing w:after="120"/>
        <w:ind w:left="357" w:hanging="357"/>
        <w:jc w:val="both"/>
      </w:pPr>
      <w:r>
        <w:t xml:space="preserve">Noteikumu mērķis – aprēķināt un sadalīt mērķdotāciju kolektīvu vadītājiem par sasniegumiem un </w:t>
      </w:r>
      <w:r w:rsidR="00166CFD">
        <w:t xml:space="preserve">darba </w:t>
      </w:r>
      <w:r>
        <w:t xml:space="preserve">intensitāti, apgūstot kārtējo Vispārējo latviešu Dziesmu un deju svētku </w:t>
      </w:r>
      <w:proofErr w:type="spellStart"/>
      <w:r>
        <w:t>koprepertuāru</w:t>
      </w:r>
      <w:proofErr w:type="spellEnd"/>
      <w:r>
        <w:t xml:space="preserve"> un piedaloties Dziesmu un deju svētku starplaikos notiekošajos pasākumos.</w:t>
      </w:r>
    </w:p>
    <w:p w14:paraId="625D21F3" w14:textId="5C1C53E5" w:rsidR="00BF5B02" w:rsidRPr="00621BD8" w:rsidRDefault="00BF5B02" w:rsidP="00BF5B02">
      <w:pPr>
        <w:numPr>
          <w:ilvl w:val="1"/>
          <w:numId w:val="2"/>
        </w:numPr>
        <w:spacing w:after="120"/>
        <w:jc w:val="both"/>
      </w:pPr>
      <w:r w:rsidRPr="00621BD8">
        <w:t xml:space="preserve">Mērķdotāciju sadala kolektīviem, kas atbilsts </w:t>
      </w:r>
      <w:r>
        <w:t xml:space="preserve">Ministru kabineta </w:t>
      </w:r>
      <w:r w:rsidR="003943B2">
        <w:t>2015</w:t>
      </w:r>
      <w:r w:rsidR="002025A1">
        <w:t xml:space="preserve"> </w:t>
      </w:r>
      <w:r w:rsidR="003943B2">
        <w:t xml:space="preserve">.gada 17.novembra </w:t>
      </w:r>
      <w:r w:rsidRPr="00621BD8">
        <w:t>noteikumu Nr.</w:t>
      </w:r>
      <w:r w:rsidR="003C75EB">
        <w:t> </w:t>
      </w:r>
      <w:r w:rsidRPr="00621BD8">
        <w:t xml:space="preserve">649 “Kārtība, kādā pašvaldībām aprēķina un sadala valsts budžeta mērķdotāciju māksliniecisko kolektīvu vadītāju darba samaksai un valsts sociālās apdrošināšanas obligātajām iemaksām” </w:t>
      </w:r>
      <w:r>
        <w:t xml:space="preserve"> - (turpmāk – MK noteikumi) </w:t>
      </w:r>
      <w:r w:rsidRPr="00621BD8">
        <w:t>2.</w:t>
      </w:r>
      <w:r w:rsidR="003C75EB">
        <w:t> </w:t>
      </w:r>
      <w:r w:rsidRPr="00621BD8">
        <w:t>punktā minētiem kritērijiem.</w:t>
      </w:r>
    </w:p>
    <w:p w14:paraId="29EC5A5E" w14:textId="77777777" w:rsidR="00BF5B02" w:rsidRPr="00621BD8" w:rsidRDefault="00BF5B02" w:rsidP="003C75EB">
      <w:pPr>
        <w:numPr>
          <w:ilvl w:val="1"/>
          <w:numId w:val="2"/>
        </w:numPr>
        <w:ind w:left="357" w:hanging="357"/>
        <w:jc w:val="both"/>
      </w:pPr>
      <w:r w:rsidRPr="00621BD8">
        <w:t xml:space="preserve">Mērķdotācijas aprēķinā izšķir divu veidu kolektīvu grupas: </w:t>
      </w:r>
    </w:p>
    <w:p w14:paraId="6B53A1FC" w14:textId="79A2C878" w:rsidR="00BF5B02" w:rsidRPr="00621BD8" w:rsidRDefault="00BF5B02" w:rsidP="00BF5B02">
      <w:pPr>
        <w:numPr>
          <w:ilvl w:val="1"/>
          <w:numId w:val="3"/>
        </w:numPr>
        <w:spacing w:after="120"/>
        <w:ind w:left="993" w:hanging="633"/>
        <w:jc w:val="both"/>
      </w:pPr>
      <w:r w:rsidRPr="00621BD8">
        <w:t>G1 kolektīvi (kori, tautas deju kolektīvi, kokļu mūzikas ansambļi un pūtēju orķestri),</w:t>
      </w:r>
    </w:p>
    <w:p w14:paraId="027A3896" w14:textId="74F19183" w:rsidR="00BF5B02" w:rsidRPr="00621BD8" w:rsidRDefault="00BF5B02" w:rsidP="00BF5B02">
      <w:pPr>
        <w:numPr>
          <w:ilvl w:val="1"/>
          <w:numId w:val="3"/>
        </w:numPr>
        <w:spacing w:after="120"/>
        <w:ind w:left="993" w:hanging="633"/>
        <w:jc w:val="both"/>
      </w:pPr>
      <w:r w:rsidRPr="00621BD8">
        <w:t>G2 kolektīvi (folkloras kopas, etnogrāfiskie ansambļi, tautas mūzikas grupas, tautas lietišķā mākslas kolektīvi, vokālie ansambļi un amatierteātri).</w:t>
      </w:r>
    </w:p>
    <w:p w14:paraId="25D985AC" w14:textId="77777777" w:rsidR="00BF5B02" w:rsidRDefault="00BF5B02" w:rsidP="00BF5B02">
      <w:pPr>
        <w:numPr>
          <w:ilvl w:val="1"/>
          <w:numId w:val="2"/>
        </w:numPr>
        <w:spacing w:after="120"/>
        <w:ind w:left="357" w:hanging="357"/>
        <w:jc w:val="both"/>
      </w:pPr>
      <w:r>
        <w:t>Izmaiņas mērķdotācijas aprēķinā un sadalē veic, ja mākslinieciskais kolektīvs tiek likvidēts vai tas neatbilst noteikumu 3.punktam.</w:t>
      </w:r>
    </w:p>
    <w:p w14:paraId="24E9CD4A" w14:textId="77777777" w:rsidR="00BF5B02" w:rsidRDefault="00BF5B02" w:rsidP="00BF5B02">
      <w:pPr>
        <w:numPr>
          <w:ilvl w:val="1"/>
          <w:numId w:val="2"/>
        </w:numPr>
        <w:spacing w:after="120"/>
        <w:ind w:left="357" w:hanging="357"/>
        <w:jc w:val="both"/>
      </w:pPr>
      <w:r>
        <w:t>Mērķdotācijas aprēķināšanu un sadali pārskata vismaz vienu reizi kalendārajā gadā.</w:t>
      </w:r>
    </w:p>
    <w:p w14:paraId="38754409" w14:textId="662DF1A6" w:rsidR="00BF5B02" w:rsidRPr="00F546F7" w:rsidRDefault="00BF5B02" w:rsidP="00BF5B02">
      <w:pPr>
        <w:numPr>
          <w:ilvl w:val="1"/>
          <w:numId w:val="2"/>
        </w:numPr>
        <w:spacing w:after="120"/>
        <w:ind w:left="357" w:hanging="357"/>
        <w:jc w:val="both"/>
      </w:pPr>
      <w:r w:rsidRPr="00F546F7">
        <w:lastRenderedPageBreak/>
        <w:t xml:space="preserve">Mērķdotāciju katram kolektīvu vadītājam aprēķina Alūksnes novada Kultūras centrs, saskaņo </w:t>
      </w:r>
      <w:r>
        <w:t xml:space="preserve">Alūksnes novada pašvaldības Centrālās administrācijas </w:t>
      </w:r>
      <w:r w:rsidRPr="00F546F7">
        <w:t>Finanšu nodaļa un apstiprina Alūksnes novada pašvaldības domes priekšsēdētājs</w:t>
      </w:r>
      <w:r w:rsidR="008165F9">
        <w:t>, izdodot rīkojumu</w:t>
      </w:r>
      <w:r w:rsidRPr="00F546F7">
        <w:t>.</w:t>
      </w:r>
    </w:p>
    <w:p w14:paraId="05BFD0EF" w14:textId="77777777" w:rsidR="00BF5B02" w:rsidRDefault="00BF5B02" w:rsidP="00BF5B02"/>
    <w:p w14:paraId="2ABF1520" w14:textId="77777777" w:rsidR="00BF5B02" w:rsidRPr="00EA7585" w:rsidRDefault="00BF5B02" w:rsidP="00BF5B02">
      <w:pPr>
        <w:jc w:val="center"/>
        <w:rPr>
          <w:b/>
        </w:rPr>
      </w:pPr>
      <w:r>
        <w:rPr>
          <w:b/>
        </w:rPr>
        <w:t>II.</w:t>
      </w:r>
      <w:r w:rsidRPr="00EA7585">
        <w:rPr>
          <w:b/>
        </w:rPr>
        <w:t xml:space="preserve"> </w:t>
      </w:r>
      <w:r>
        <w:rPr>
          <w:b/>
        </w:rPr>
        <w:t>Mērķdotācijas sadales veids</w:t>
      </w:r>
    </w:p>
    <w:p w14:paraId="7F9A3E38" w14:textId="77777777" w:rsidR="00BF5B02" w:rsidRDefault="00BF5B02" w:rsidP="00BF5B02"/>
    <w:p w14:paraId="5B51E320" w14:textId="2AAF3B0D" w:rsidR="00BF5B02" w:rsidRDefault="00BF5B02" w:rsidP="009F7526">
      <w:pPr>
        <w:pStyle w:val="Sarakstarindkopa"/>
        <w:numPr>
          <w:ilvl w:val="1"/>
          <w:numId w:val="2"/>
        </w:numPr>
        <w:spacing w:after="120"/>
        <w:jc w:val="both"/>
      </w:pPr>
      <w:r>
        <w:t xml:space="preserve">Kolektīvu vadītājiem </w:t>
      </w:r>
      <w:r w:rsidRPr="00700AD5">
        <w:t xml:space="preserve">piešķiramo mērķdotācijas </w:t>
      </w:r>
      <w:r>
        <w:t xml:space="preserve">apmēru </w:t>
      </w:r>
      <w:r w:rsidRPr="00700AD5">
        <w:t xml:space="preserve">aprēķina </w:t>
      </w:r>
      <w:r>
        <w:t xml:space="preserve">izmantojot </w:t>
      </w:r>
      <w:r w:rsidRPr="00700AD5">
        <w:t>šād</w:t>
      </w:r>
      <w:r>
        <w:t>u</w:t>
      </w:r>
      <w:r w:rsidRPr="00700AD5">
        <w:t xml:space="preserve"> formul</w:t>
      </w:r>
      <w:r>
        <w:t>u</w:t>
      </w:r>
      <w:r w:rsidRPr="00700AD5">
        <w:t>:</w:t>
      </w:r>
    </w:p>
    <w:p w14:paraId="6F833B55" w14:textId="77777777" w:rsidR="00BF5B02" w:rsidRDefault="00BF5B02" w:rsidP="00BF5B02">
      <w:pPr>
        <w:spacing w:after="120"/>
        <w:ind w:left="540" w:hanging="540"/>
        <w:jc w:val="center"/>
      </w:pPr>
      <w:r>
        <w:t>F= (B:S) x P, kur</w:t>
      </w:r>
    </w:p>
    <w:p w14:paraId="18881D9F" w14:textId="7F2BC445" w:rsidR="00BF5B02" w:rsidRDefault="003C75EB" w:rsidP="00BF5B02">
      <w:pPr>
        <w:ind w:left="1276" w:hanging="540"/>
        <w:jc w:val="both"/>
      </w:pPr>
      <w:r>
        <w:t>“</w:t>
      </w:r>
      <w:r w:rsidR="00BF5B02">
        <w:t>F” - kolektīvam piešķirtais mērķdotācijas apmērs;</w:t>
      </w:r>
    </w:p>
    <w:p w14:paraId="38E52C69" w14:textId="3094D79C" w:rsidR="00BF5B02" w:rsidRDefault="003C75EB" w:rsidP="00BF5B02">
      <w:pPr>
        <w:ind w:left="1276" w:hanging="540"/>
        <w:jc w:val="both"/>
      </w:pPr>
      <w:r>
        <w:t>“</w:t>
      </w:r>
      <w:r w:rsidR="00BF5B02">
        <w:t>B” - novadam noteiktais kopējais mērķdotācijas finansējums;</w:t>
      </w:r>
    </w:p>
    <w:p w14:paraId="4AE59535" w14:textId="234DA2C1" w:rsidR="00BF5B02" w:rsidRDefault="003C75EB" w:rsidP="00BF5B02">
      <w:pPr>
        <w:ind w:left="1276" w:hanging="540"/>
        <w:jc w:val="both"/>
      </w:pPr>
      <w:r>
        <w:t>“</w:t>
      </w:r>
      <w:r w:rsidR="00BF5B02">
        <w:t>S” - koeficientu kopējā summa;</w:t>
      </w:r>
    </w:p>
    <w:p w14:paraId="6499DCA8" w14:textId="2A148FDD" w:rsidR="00BF5B02" w:rsidRDefault="003C75EB" w:rsidP="00BF5B02">
      <w:pPr>
        <w:spacing w:after="120"/>
        <w:ind w:left="1276" w:hanging="540"/>
        <w:jc w:val="both"/>
      </w:pPr>
      <w:r>
        <w:t>“</w:t>
      </w:r>
      <w:r w:rsidR="00BF5B02">
        <w:t>P” - katram kolektīvam piešķirtais koeficients.</w:t>
      </w:r>
    </w:p>
    <w:p w14:paraId="7DB30107" w14:textId="07CFBC62" w:rsidR="00BF5B02" w:rsidRDefault="00166CFD" w:rsidP="003C75EB">
      <w:pPr>
        <w:ind w:left="539" w:hanging="539"/>
        <w:jc w:val="both"/>
      </w:pPr>
      <w:r>
        <w:t>9.</w:t>
      </w:r>
      <w:r w:rsidR="00BF5B02">
        <w:tab/>
        <w:t>Par Valsts un pašvaldības organizētajās skatēs iegūto pakāpi tiek piemēroti šādi koeficienti:</w:t>
      </w:r>
    </w:p>
    <w:p w14:paraId="573B6E3D" w14:textId="594797B5" w:rsidR="00BF5B02" w:rsidRDefault="00166CFD" w:rsidP="009F7526">
      <w:pPr>
        <w:ind w:left="709" w:hanging="142"/>
        <w:jc w:val="both"/>
      </w:pPr>
      <w:r>
        <w:t>9</w:t>
      </w:r>
      <w:r w:rsidR="00BF5B02">
        <w:t>.1. G1 grupas kolektīviem:</w:t>
      </w:r>
    </w:p>
    <w:p w14:paraId="1E010E60" w14:textId="409DF371" w:rsidR="00BF5B02" w:rsidRDefault="00166CFD" w:rsidP="009F7526">
      <w:pPr>
        <w:ind w:left="993" w:hanging="142"/>
        <w:jc w:val="both"/>
      </w:pPr>
      <w:r>
        <w:t>9</w:t>
      </w:r>
      <w:r w:rsidR="00BF5B02">
        <w:t xml:space="preserve">.1.1. </w:t>
      </w:r>
      <w:r w:rsidR="00BF5B02" w:rsidRPr="00621BD8">
        <w:t xml:space="preserve">par </w:t>
      </w:r>
      <w:r w:rsidR="00522000">
        <w:t>a</w:t>
      </w:r>
      <w:r w:rsidR="00BF5B02" w:rsidRPr="00621BD8">
        <w:t>ugstāko</w:t>
      </w:r>
      <w:r w:rsidR="00BF5B02">
        <w:t xml:space="preserve"> un I pakāpi - 2;</w:t>
      </w:r>
    </w:p>
    <w:p w14:paraId="29914827" w14:textId="033B909D" w:rsidR="00BF5B02" w:rsidRDefault="00166CFD" w:rsidP="009F7526">
      <w:pPr>
        <w:ind w:left="993" w:hanging="142"/>
        <w:jc w:val="both"/>
      </w:pPr>
      <w:r>
        <w:t>9</w:t>
      </w:r>
      <w:r w:rsidR="00BF5B02">
        <w:t>.1.2. par II un III pakāpi- 1,</w:t>
      </w:r>
      <w:r w:rsidR="00BF5B02" w:rsidRPr="00201755">
        <w:t>5 (ja kolektīvu vada divi vadītāji, tad koeficients tiek dalīts uz pusēm)</w:t>
      </w:r>
      <w:r w:rsidR="00522000">
        <w:t>;</w:t>
      </w:r>
    </w:p>
    <w:p w14:paraId="4589BA63" w14:textId="42873239" w:rsidR="00BF5B02" w:rsidRDefault="00166CFD" w:rsidP="009F7526">
      <w:pPr>
        <w:spacing w:after="120"/>
        <w:ind w:left="540" w:firstLine="27"/>
        <w:jc w:val="both"/>
      </w:pPr>
      <w:r>
        <w:t xml:space="preserve">9.2. </w:t>
      </w:r>
      <w:r w:rsidR="00BF5B02">
        <w:t>G2 grupas kolektīviem – 1.</w:t>
      </w:r>
    </w:p>
    <w:p w14:paraId="4FC046F9" w14:textId="77777777" w:rsidR="00BF5B02" w:rsidRDefault="00BF5B02" w:rsidP="00BF5B02">
      <w:pPr>
        <w:jc w:val="center"/>
        <w:rPr>
          <w:b/>
        </w:rPr>
      </w:pPr>
    </w:p>
    <w:p w14:paraId="1E6FA496" w14:textId="77777777" w:rsidR="00BF5B02" w:rsidRPr="00EA7585" w:rsidRDefault="00BF5B02" w:rsidP="00BF5B02">
      <w:pPr>
        <w:jc w:val="center"/>
        <w:rPr>
          <w:b/>
        </w:rPr>
      </w:pPr>
      <w:r>
        <w:rPr>
          <w:b/>
        </w:rPr>
        <w:t>III</w:t>
      </w:r>
      <w:r w:rsidRPr="00EA7585">
        <w:rPr>
          <w:b/>
        </w:rPr>
        <w:t xml:space="preserve">. </w:t>
      </w:r>
      <w:r>
        <w:rPr>
          <w:b/>
        </w:rPr>
        <w:t>Mērķdotācijas izmaksas un atskaites veids</w:t>
      </w:r>
    </w:p>
    <w:p w14:paraId="3C09D813" w14:textId="77777777" w:rsidR="00BF5B02" w:rsidRDefault="00BF5B02" w:rsidP="00BF5B02">
      <w:pPr>
        <w:jc w:val="both"/>
      </w:pPr>
    </w:p>
    <w:p w14:paraId="60B3129D" w14:textId="1221C034" w:rsidR="00BF5B02" w:rsidRDefault="00166CFD" w:rsidP="00BF5B02">
      <w:pPr>
        <w:spacing w:after="120"/>
        <w:ind w:left="567" w:hanging="567"/>
        <w:jc w:val="both"/>
      </w:pPr>
      <w:r>
        <w:t>10</w:t>
      </w:r>
      <w:r w:rsidR="00BF5B02">
        <w:t xml:space="preserve">. </w:t>
      </w:r>
      <w:r w:rsidR="00BF5B02">
        <w:tab/>
        <w:t>Atlīdzība no mērķdotācijas līdzekļiem tiek izmaksāta vienu reizi mēnesī kopā ar Alūksnes novada pašvaldības apstiprināto darba samaksu kolektīva vadītājam un ir nosakāma kā daļēja darba alga.</w:t>
      </w:r>
    </w:p>
    <w:p w14:paraId="50DDF656" w14:textId="6668EC53" w:rsidR="00BF5B02" w:rsidRDefault="00BF5B02" w:rsidP="00BF5B02">
      <w:pPr>
        <w:spacing w:after="120"/>
        <w:ind w:left="567" w:hanging="567"/>
        <w:jc w:val="both"/>
      </w:pPr>
      <w:r>
        <w:t>1</w:t>
      </w:r>
      <w:r w:rsidR="00166CFD">
        <w:t>1</w:t>
      </w:r>
      <w:r>
        <w:t>.</w:t>
      </w:r>
      <w:r>
        <w:tab/>
        <w:t xml:space="preserve">Izmaiņas darba līgumos nodrošina </w:t>
      </w:r>
      <w:r w:rsidR="00522000">
        <w:t xml:space="preserve">tā </w:t>
      </w:r>
      <w:r>
        <w:t>Alūksnes novada pašvaldības iestāde, pie kuras attiecīgais kolektīvs darbojas.</w:t>
      </w:r>
    </w:p>
    <w:p w14:paraId="6E403142" w14:textId="27CA07F4" w:rsidR="00BF5B02" w:rsidRDefault="00BF5B02" w:rsidP="00BF5B02">
      <w:pPr>
        <w:ind w:left="567" w:hanging="567"/>
        <w:jc w:val="both"/>
      </w:pPr>
      <w:r>
        <w:t>1</w:t>
      </w:r>
      <w:r w:rsidR="00166CFD">
        <w:t>2</w:t>
      </w:r>
      <w:r>
        <w:t>.</w:t>
      </w:r>
      <w:r>
        <w:tab/>
        <w:t xml:space="preserve">Darba algas aprēķinu un samaksu, valsts sociālās apdrošināšanas obligātās iemaksas, saskaņā ar šiem noteikumiem un attiecīgās Alūksnes novada pašvaldības iestādes direktora (vadītāja) rīkojumu vai darba līgumu, nodrošina Alūksnes novada pašvaldības </w:t>
      </w:r>
      <w:r w:rsidRPr="00616100">
        <w:t>Centrālās administrācijas</w:t>
      </w:r>
      <w:r>
        <w:t xml:space="preserve"> </w:t>
      </w:r>
      <w:r w:rsidR="00522000">
        <w:t>G</w:t>
      </w:r>
      <w:r>
        <w:t>rāmatvedība.</w:t>
      </w:r>
    </w:p>
    <w:p w14:paraId="2FAEA006" w14:textId="77777777" w:rsidR="00BF5B02" w:rsidRPr="00616100" w:rsidRDefault="00BF5B02" w:rsidP="00BF5B02">
      <w:pPr>
        <w:ind w:left="567" w:hanging="567"/>
        <w:jc w:val="both"/>
      </w:pPr>
    </w:p>
    <w:p w14:paraId="593DC126" w14:textId="7358E76D" w:rsidR="00BF5B02" w:rsidRDefault="00BF5B02" w:rsidP="00BF5B02">
      <w:pPr>
        <w:ind w:left="567" w:hanging="567"/>
        <w:jc w:val="both"/>
      </w:pPr>
      <w:r w:rsidRPr="0014296A">
        <w:t>1</w:t>
      </w:r>
      <w:r w:rsidR="00166CFD">
        <w:t>3</w:t>
      </w:r>
      <w:r w:rsidRPr="0014296A">
        <w:t xml:space="preserve">. </w:t>
      </w:r>
      <w:r>
        <w:tab/>
      </w:r>
      <w:r w:rsidRPr="0014296A">
        <w:t xml:space="preserve">Alūksnes novada pašvaldības Centrālās administrācijas </w:t>
      </w:r>
      <w:r w:rsidR="00522000">
        <w:t>G</w:t>
      </w:r>
      <w:r w:rsidRPr="0014296A">
        <w:t xml:space="preserve">rāmatvedība aizpilda pārskatu par mērķdotācijas izlietojumu un iesniedz MK noteikumos noteiktajā </w:t>
      </w:r>
      <w:r>
        <w:t xml:space="preserve">formā, </w:t>
      </w:r>
      <w:r w:rsidRPr="0014296A">
        <w:t>veidā un termiņā.</w:t>
      </w:r>
    </w:p>
    <w:p w14:paraId="3127A6C6" w14:textId="77777777" w:rsidR="00BF5B02" w:rsidRDefault="00BF5B02" w:rsidP="00BF5B02">
      <w:pPr>
        <w:spacing w:after="1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2"/>
        <w:gridCol w:w="3170"/>
        <w:gridCol w:w="2455"/>
        <w:gridCol w:w="1201"/>
      </w:tblGrid>
      <w:tr w:rsidR="00BF5B02" w14:paraId="6FFA5841" w14:textId="77777777" w:rsidTr="00285D03">
        <w:tc>
          <w:tcPr>
            <w:tcW w:w="3095" w:type="dxa"/>
            <w:shd w:val="clear" w:color="auto" w:fill="auto"/>
          </w:tcPr>
          <w:p w14:paraId="5935B6D8" w14:textId="41DC38A1" w:rsidR="00BF5B02" w:rsidRDefault="00BF5B02" w:rsidP="00285D03"/>
        </w:tc>
        <w:tc>
          <w:tcPr>
            <w:tcW w:w="3493" w:type="dxa"/>
            <w:shd w:val="clear" w:color="auto" w:fill="auto"/>
          </w:tcPr>
          <w:p w14:paraId="7CB47028" w14:textId="77777777" w:rsidR="00BF5B02" w:rsidRDefault="00BF5B02" w:rsidP="00285D03">
            <w:pPr>
              <w:jc w:val="right"/>
            </w:pPr>
          </w:p>
        </w:tc>
        <w:tc>
          <w:tcPr>
            <w:tcW w:w="2699" w:type="dxa"/>
            <w:gridSpan w:val="2"/>
            <w:shd w:val="clear" w:color="auto" w:fill="auto"/>
          </w:tcPr>
          <w:p w14:paraId="313F99C1" w14:textId="387553C0" w:rsidR="00BF5B02" w:rsidRPr="00063132" w:rsidRDefault="00BF5B02" w:rsidP="00285D03"/>
        </w:tc>
      </w:tr>
      <w:tr w:rsidR="00D543AE" w14:paraId="2C5F1699" w14:textId="77777777" w:rsidTr="00285D03">
        <w:trPr>
          <w:gridAfter w:val="1"/>
          <w:wAfter w:w="1332" w:type="dxa"/>
        </w:trPr>
        <w:tc>
          <w:tcPr>
            <w:tcW w:w="3095" w:type="dxa"/>
            <w:shd w:val="clear" w:color="auto" w:fill="auto"/>
          </w:tcPr>
          <w:p w14:paraId="61857738" w14:textId="77777777" w:rsidR="00D543AE" w:rsidRDefault="00D543AE" w:rsidP="00285D03"/>
        </w:tc>
        <w:tc>
          <w:tcPr>
            <w:tcW w:w="3493" w:type="dxa"/>
            <w:shd w:val="clear" w:color="auto" w:fill="auto"/>
          </w:tcPr>
          <w:p w14:paraId="583B8911" w14:textId="77777777" w:rsidR="00D543AE" w:rsidRDefault="00D543AE" w:rsidP="00285D03">
            <w:pPr>
              <w:jc w:val="right"/>
            </w:pPr>
          </w:p>
        </w:tc>
        <w:tc>
          <w:tcPr>
            <w:tcW w:w="2699" w:type="dxa"/>
            <w:shd w:val="clear" w:color="auto" w:fill="auto"/>
          </w:tcPr>
          <w:p w14:paraId="7F063653" w14:textId="77777777" w:rsidR="00D543AE" w:rsidRDefault="00D543AE" w:rsidP="00285D03"/>
        </w:tc>
      </w:tr>
    </w:tbl>
    <w:p w14:paraId="721898F7" w14:textId="77777777" w:rsidR="00BF5B02" w:rsidRDefault="00BF5B02" w:rsidP="00BF5B02">
      <w:pPr>
        <w:spacing w:after="120"/>
      </w:pPr>
    </w:p>
    <w:p w14:paraId="34B1368A" w14:textId="77777777" w:rsidR="00BF5B02" w:rsidRDefault="00BF5B02" w:rsidP="00BF5B02"/>
    <w:p w14:paraId="447FC699" w14:textId="77777777" w:rsidR="00BF5B02" w:rsidRPr="00CC17DD" w:rsidRDefault="00BF5B02" w:rsidP="00AC576D"/>
    <w:sectPr w:rsidR="00BF5B02" w:rsidRPr="00CC17DD" w:rsidSect="003C75EB">
      <w:headerReference w:type="default" r:id="rId7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BB212" w14:textId="77777777" w:rsidR="004F1334" w:rsidRDefault="004F1334">
      <w:r>
        <w:separator/>
      </w:r>
    </w:p>
  </w:endnote>
  <w:endnote w:type="continuationSeparator" w:id="0">
    <w:p w14:paraId="2AD7D582" w14:textId="77777777" w:rsidR="004F1334" w:rsidRDefault="004F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ustaTLPro-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79604" w14:textId="77777777" w:rsidR="004F1334" w:rsidRDefault="004F1334">
      <w:r>
        <w:separator/>
      </w:r>
    </w:p>
  </w:footnote>
  <w:footnote w:type="continuationSeparator" w:id="0">
    <w:p w14:paraId="3C05AC87" w14:textId="77777777" w:rsidR="004F1334" w:rsidRDefault="004F1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A751" w14:textId="77777777" w:rsidR="0058057E" w:rsidRDefault="0058057E" w:rsidP="001A2413">
    <w:pPr>
      <w:jc w:val="center"/>
    </w:pPr>
  </w:p>
  <w:p w14:paraId="25E1AA24" w14:textId="77777777" w:rsidR="0058057E" w:rsidRPr="001A2413" w:rsidRDefault="0058057E">
    <w:pPr>
      <w:pStyle w:val="Galve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560E8"/>
    <w:multiLevelType w:val="multilevel"/>
    <w:tmpl w:val="DE3E6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D9B152B"/>
    <w:multiLevelType w:val="hybridMultilevel"/>
    <w:tmpl w:val="50E003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446C48"/>
    <w:multiLevelType w:val="multilevel"/>
    <w:tmpl w:val="EA78A6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4361744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7599321">
    <w:abstractNumId w:val="0"/>
  </w:num>
  <w:num w:numId="3" w16cid:durableId="77792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413"/>
    <w:rsid w:val="00005133"/>
    <w:rsid w:val="0001209E"/>
    <w:rsid w:val="00014493"/>
    <w:rsid w:val="0002547B"/>
    <w:rsid w:val="0002654D"/>
    <w:rsid w:val="0003071C"/>
    <w:rsid w:val="00032121"/>
    <w:rsid w:val="00035534"/>
    <w:rsid w:val="00041EB2"/>
    <w:rsid w:val="0005148B"/>
    <w:rsid w:val="000617E2"/>
    <w:rsid w:val="00086195"/>
    <w:rsid w:val="000B41C3"/>
    <w:rsid w:val="000B7837"/>
    <w:rsid w:val="000D6692"/>
    <w:rsid w:val="000E022C"/>
    <w:rsid w:val="000E3ABC"/>
    <w:rsid w:val="000E43FA"/>
    <w:rsid w:val="000F2560"/>
    <w:rsid w:val="00102F81"/>
    <w:rsid w:val="001349CC"/>
    <w:rsid w:val="00142BCE"/>
    <w:rsid w:val="00155B3F"/>
    <w:rsid w:val="0016520F"/>
    <w:rsid w:val="00166CFD"/>
    <w:rsid w:val="001734E4"/>
    <w:rsid w:val="001753C3"/>
    <w:rsid w:val="00175DEF"/>
    <w:rsid w:val="001917BA"/>
    <w:rsid w:val="001A2413"/>
    <w:rsid w:val="001C08E7"/>
    <w:rsid w:val="001C3D7B"/>
    <w:rsid w:val="001D4BA5"/>
    <w:rsid w:val="001E44DD"/>
    <w:rsid w:val="001F6F6A"/>
    <w:rsid w:val="002025A1"/>
    <w:rsid w:val="00213A26"/>
    <w:rsid w:val="00222ABE"/>
    <w:rsid w:val="00224B57"/>
    <w:rsid w:val="00233696"/>
    <w:rsid w:val="002522DB"/>
    <w:rsid w:val="002A109A"/>
    <w:rsid w:val="002A2CD8"/>
    <w:rsid w:val="002A4021"/>
    <w:rsid w:val="002A6F0A"/>
    <w:rsid w:val="002C53F4"/>
    <w:rsid w:val="002D0D98"/>
    <w:rsid w:val="002E2EA4"/>
    <w:rsid w:val="002E706A"/>
    <w:rsid w:val="002F0BB7"/>
    <w:rsid w:val="00305398"/>
    <w:rsid w:val="00310F41"/>
    <w:rsid w:val="00317B86"/>
    <w:rsid w:val="003202D5"/>
    <w:rsid w:val="003239AE"/>
    <w:rsid w:val="003439ED"/>
    <w:rsid w:val="003459E8"/>
    <w:rsid w:val="0037075E"/>
    <w:rsid w:val="0038161A"/>
    <w:rsid w:val="0038780D"/>
    <w:rsid w:val="00391285"/>
    <w:rsid w:val="003927AB"/>
    <w:rsid w:val="003943B2"/>
    <w:rsid w:val="003963C6"/>
    <w:rsid w:val="003A4EF1"/>
    <w:rsid w:val="003C4D50"/>
    <w:rsid w:val="003C75EB"/>
    <w:rsid w:val="003D6694"/>
    <w:rsid w:val="003E531B"/>
    <w:rsid w:val="003E62D1"/>
    <w:rsid w:val="00406815"/>
    <w:rsid w:val="00407F8E"/>
    <w:rsid w:val="0041130B"/>
    <w:rsid w:val="004256F6"/>
    <w:rsid w:val="004307BB"/>
    <w:rsid w:val="00432FD9"/>
    <w:rsid w:val="00435B1B"/>
    <w:rsid w:val="00482EBE"/>
    <w:rsid w:val="00495AFB"/>
    <w:rsid w:val="004A2E43"/>
    <w:rsid w:val="004C7761"/>
    <w:rsid w:val="004D4464"/>
    <w:rsid w:val="004E0D4C"/>
    <w:rsid w:val="004E57BC"/>
    <w:rsid w:val="004E70A5"/>
    <w:rsid w:val="004F1334"/>
    <w:rsid w:val="00522000"/>
    <w:rsid w:val="005233D7"/>
    <w:rsid w:val="00527775"/>
    <w:rsid w:val="00540016"/>
    <w:rsid w:val="0054227C"/>
    <w:rsid w:val="00576913"/>
    <w:rsid w:val="0058057E"/>
    <w:rsid w:val="0058059E"/>
    <w:rsid w:val="005A2468"/>
    <w:rsid w:val="005D4971"/>
    <w:rsid w:val="005D6C9F"/>
    <w:rsid w:val="005F11C8"/>
    <w:rsid w:val="0060294A"/>
    <w:rsid w:val="00617185"/>
    <w:rsid w:val="00625763"/>
    <w:rsid w:val="006318F4"/>
    <w:rsid w:val="006324B6"/>
    <w:rsid w:val="006369E1"/>
    <w:rsid w:val="00642A7F"/>
    <w:rsid w:val="00652664"/>
    <w:rsid w:val="00662C15"/>
    <w:rsid w:val="0066310C"/>
    <w:rsid w:val="0067060D"/>
    <w:rsid w:val="00673440"/>
    <w:rsid w:val="00675F12"/>
    <w:rsid w:val="00676C6D"/>
    <w:rsid w:val="00680006"/>
    <w:rsid w:val="00682BBE"/>
    <w:rsid w:val="006959F0"/>
    <w:rsid w:val="006A5921"/>
    <w:rsid w:val="006A74A8"/>
    <w:rsid w:val="006B24D7"/>
    <w:rsid w:val="006C408F"/>
    <w:rsid w:val="006C63C3"/>
    <w:rsid w:val="006D691C"/>
    <w:rsid w:val="006E2A8F"/>
    <w:rsid w:val="006F319D"/>
    <w:rsid w:val="007047A5"/>
    <w:rsid w:val="00711533"/>
    <w:rsid w:val="00713BF3"/>
    <w:rsid w:val="007158E2"/>
    <w:rsid w:val="00715F7F"/>
    <w:rsid w:val="007174C6"/>
    <w:rsid w:val="0072591B"/>
    <w:rsid w:val="00733F68"/>
    <w:rsid w:val="00735F01"/>
    <w:rsid w:val="00764433"/>
    <w:rsid w:val="00767092"/>
    <w:rsid w:val="00767491"/>
    <w:rsid w:val="0076778A"/>
    <w:rsid w:val="00774502"/>
    <w:rsid w:val="00796574"/>
    <w:rsid w:val="007A5735"/>
    <w:rsid w:val="007A58E7"/>
    <w:rsid w:val="007B47BB"/>
    <w:rsid w:val="007B64FC"/>
    <w:rsid w:val="007E0854"/>
    <w:rsid w:val="008108AF"/>
    <w:rsid w:val="00811827"/>
    <w:rsid w:val="008165F9"/>
    <w:rsid w:val="00817603"/>
    <w:rsid w:val="0082481B"/>
    <w:rsid w:val="00831FED"/>
    <w:rsid w:val="00833AC9"/>
    <w:rsid w:val="008356A7"/>
    <w:rsid w:val="0084081A"/>
    <w:rsid w:val="00840BF7"/>
    <w:rsid w:val="00844DB4"/>
    <w:rsid w:val="00855850"/>
    <w:rsid w:val="008613DD"/>
    <w:rsid w:val="00884790"/>
    <w:rsid w:val="00887804"/>
    <w:rsid w:val="00894061"/>
    <w:rsid w:val="0089564B"/>
    <w:rsid w:val="0089708D"/>
    <w:rsid w:val="008B3744"/>
    <w:rsid w:val="008B57EC"/>
    <w:rsid w:val="008C10DD"/>
    <w:rsid w:val="008D3B99"/>
    <w:rsid w:val="008D4E4C"/>
    <w:rsid w:val="008E288D"/>
    <w:rsid w:val="008F295D"/>
    <w:rsid w:val="00916A1F"/>
    <w:rsid w:val="0093444D"/>
    <w:rsid w:val="00935822"/>
    <w:rsid w:val="00940E31"/>
    <w:rsid w:val="0095487A"/>
    <w:rsid w:val="009665D9"/>
    <w:rsid w:val="00973C83"/>
    <w:rsid w:val="00977BC9"/>
    <w:rsid w:val="00987200"/>
    <w:rsid w:val="009A1CF5"/>
    <w:rsid w:val="009A38D2"/>
    <w:rsid w:val="009C6842"/>
    <w:rsid w:val="009C6F21"/>
    <w:rsid w:val="009D44AE"/>
    <w:rsid w:val="009D460A"/>
    <w:rsid w:val="009F2BD5"/>
    <w:rsid w:val="009F63CB"/>
    <w:rsid w:val="009F7526"/>
    <w:rsid w:val="00A0583E"/>
    <w:rsid w:val="00A14D63"/>
    <w:rsid w:val="00A206B0"/>
    <w:rsid w:val="00A321B4"/>
    <w:rsid w:val="00A33420"/>
    <w:rsid w:val="00A57592"/>
    <w:rsid w:val="00A673A6"/>
    <w:rsid w:val="00A72BDE"/>
    <w:rsid w:val="00A802C2"/>
    <w:rsid w:val="00AA2EE8"/>
    <w:rsid w:val="00AB3D4F"/>
    <w:rsid w:val="00AC1965"/>
    <w:rsid w:val="00AC576D"/>
    <w:rsid w:val="00AD3019"/>
    <w:rsid w:val="00AD5615"/>
    <w:rsid w:val="00AF105D"/>
    <w:rsid w:val="00AF78C5"/>
    <w:rsid w:val="00AF7BFA"/>
    <w:rsid w:val="00B1083B"/>
    <w:rsid w:val="00B11CF9"/>
    <w:rsid w:val="00B15B55"/>
    <w:rsid w:val="00B2577F"/>
    <w:rsid w:val="00B35238"/>
    <w:rsid w:val="00B36949"/>
    <w:rsid w:val="00B37F73"/>
    <w:rsid w:val="00B51214"/>
    <w:rsid w:val="00B515DB"/>
    <w:rsid w:val="00B57CCC"/>
    <w:rsid w:val="00B6244A"/>
    <w:rsid w:val="00B71F04"/>
    <w:rsid w:val="00B8078D"/>
    <w:rsid w:val="00BA3D15"/>
    <w:rsid w:val="00BD71EF"/>
    <w:rsid w:val="00BE360E"/>
    <w:rsid w:val="00BF2EAD"/>
    <w:rsid w:val="00BF5B02"/>
    <w:rsid w:val="00C06632"/>
    <w:rsid w:val="00C165D3"/>
    <w:rsid w:val="00C202EC"/>
    <w:rsid w:val="00C23036"/>
    <w:rsid w:val="00C72149"/>
    <w:rsid w:val="00C82FDA"/>
    <w:rsid w:val="00C8685B"/>
    <w:rsid w:val="00C873BF"/>
    <w:rsid w:val="00CA3AAB"/>
    <w:rsid w:val="00CC17DD"/>
    <w:rsid w:val="00CC2DC3"/>
    <w:rsid w:val="00CD0A83"/>
    <w:rsid w:val="00CD0B32"/>
    <w:rsid w:val="00CD4180"/>
    <w:rsid w:val="00CD6B0F"/>
    <w:rsid w:val="00CD6C2A"/>
    <w:rsid w:val="00CE6353"/>
    <w:rsid w:val="00CF0092"/>
    <w:rsid w:val="00CF09F7"/>
    <w:rsid w:val="00D01C8D"/>
    <w:rsid w:val="00D022D4"/>
    <w:rsid w:val="00D04558"/>
    <w:rsid w:val="00D05F0F"/>
    <w:rsid w:val="00D1047A"/>
    <w:rsid w:val="00D13231"/>
    <w:rsid w:val="00D147DB"/>
    <w:rsid w:val="00D21686"/>
    <w:rsid w:val="00D22399"/>
    <w:rsid w:val="00D24181"/>
    <w:rsid w:val="00D543AE"/>
    <w:rsid w:val="00DA6ADC"/>
    <w:rsid w:val="00DB5A8E"/>
    <w:rsid w:val="00DD0C86"/>
    <w:rsid w:val="00DD2DCF"/>
    <w:rsid w:val="00DE0FB9"/>
    <w:rsid w:val="00E01D44"/>
    <w:rsid w:val="00E16F30"/>
    <w:rsid w:val="00E2420B"/>
    <w:rsid w:val="00E255F6"/>
    <w:rsid w:val="00E40C95"/>
    <w:rsid w:val="00E43318"/>
    <w:rsid w:val="00E553D8"/>
    <w:rsid w:val="00E55431"/>
    <w:rsid w:val="00E56352"/>
    <w:rsid w:val="00E603E4"/>
    <w:rsid w:val="00E737E9"/>
    <w:rsid w:val="00E841F9"/>
    <w:rsid w:val="00E871A0"/>
    <w:rsid w:val="00E97B1A"/>
    <w:rsid w:val="00EA61E0"/>
    <w:rsid w:val="00EB318A"/>
    <w:rsid w:val="00EB5714"/>
    <w:rsid w:val="00EB6661"/>
    <w:rsid w:val="00EB7EF2"/>
    <w:rsid w:val="00EC5363"/>
    <w:rsid w:val="00ED3C44"/>
    <w:rsid w:val="00ED6363"/>
    <w:rsid w:val="00EE297A"/>
    <w:rsid w:val="00EE3294"/>
    <w:rsid w:val="00EF452A"/>
    <w:rsid w:val="00EF5CBD"/>
    <w:rsid w:val="00F01573"/>
    <w:rsid w:val="00F1011B"/>
    <w:rsid w:val="00F37E04"/>
    <w:rsid w:val="00F84CF5"/>
    <w:rsid w:val="00F938FE"/>
    <w:rsid w:val="00FA40B8"/>
    <w:rsid w:val="00FD17BC"/>
    <w:rsid w:val="00FE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8771271"/>
  <w15:chartTrackingRefBased/>
  <w15:docId w15:val="{412B223B-A927-4CC8-9EB3-2467019A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lo-L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6B24D7"/>
    <w:rPr>
      <w:sz w:val="24"/>
      <w:szCs w:val="24"/>
      <w:lang w:bidi="ar-SA"/>
    </w:rPr>
  </w:style>
  <w:style w:type="paragraph" w:styleId="Virsraksts6">
    <w:name w:val="heading 6"/>
    <w:basedOn w:val="Parasts"/>
    <w:next w:val="Parasts"/>
    <w:qFormat/>
    <w:rsid w:val="001A2413"/>
    <w:pPr>
      <w:keepNext/>
      <w:jc w:val="center"/>
      <w:outlineLvl w:val="5"/>
    </w:pPr>
    <w:rPr>
      <w:rFonts w:ascii="Times New Roman Tilde" w:hAnsi="Times New Roman Tilde"/>
      <w:sz w:val="32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1A2413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1A2413"/>
    <w:pPr>
      <w:tabs>
        <w:tab w:val="center" w:pos="4153"/>
        <w:tab w:val="right" w:pos="8306"/>
      </w:tabs>
    </w:pPr>
  </w:style>
  <w:style w:type="paragraph" w:styleId="Parakstszemobjekta">
    <w:name w:val="caption"/>
    <w:basedOn w:val="Parasts"/>
    <w:next w:val="Parasts"/>
    <w:qFormat/>
    <w:rsid w:val="001A2413"/>
    <w:pPr>
      <w:spacing w:line="360" w:lineRule="auto"/>
      <w:jc w:val="center"/>
    </w:pPr>
    <w:rPr>
      <w:rFonts w:ascii="Bookman Old Style" w:hAnsi="Bookman Old Style"/>
      <w:sz w:val="28"/>
      <w:szCs w:val="20"/>
    </w:rPr>
  </w:style>
  <w:style w:type="paragraph" w:styleId="Pamatteksts">
    <w:name w:val="Body Text"/>
    <w:basedOn w:val="Parasts"/>
    <w:rsid w:val="006B24D7"/>
    <w:pPr>
      <w:spacing w:after="120"/>
    </w:pPr>
    <w:rPr>
      <w:sz w:val="20"/>
      <w:szCs w:val="20"/>
      <w:lang w:val="en-US"/>
    </w:rPr>
  </w:style>
  <w:style w:type="paragraph" w:styleId="Prskatjums">
    <w:name w:val="Revision"/>
    <w:hidden/>
    <w:uiPriority w:val="99"/>
    <w:semiHidden/>
    <w:rsid w:val="0002547B"/>
    <w:rPr>
      <w:sz w:val="24"/>
      <w:szCs w:val="24"/>
      <w:lang w:bidi="ar-SA"/>
    </w:rPr>
  </w:style>
  <w:style w:type="character" w:styleId="Komentraatsauce">
    <w:name w:val="annotation reference"/>
    <w:basedOn w:val="Noklusjumarindkopasfonts"/>
    <w:rsid w:val="0052200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52200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522000"/>
    <w:rPr>
      <w:lang w:bidi="ar-SA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52200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522000"/>
    <w:rPr>
      <w:b/>
      <w:bCs/>
      <w:lang w:bidi="ar-SA"/>
    </w:rPr>
  </w:style>
  <w:style w:type="paragraph" w:styleId="Balonteksts">
    <w:name w:val="Balloon Text"/>
    <w:basedOn w:val="Parasts"/>
    <w:link w:val="BalontekstsRakstz"/>
    <w:semiHidden/>
    <w:unhideWhenUsed/>
    <w:rsid w:val="003943B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semiHidden/>
    <w:rsid w:val="003943B2"/>
    <w:rPr>
      <w:rFonts w:ascii="Segoe UI" w:hAnsi="Segoe UI" w:cs="Segoe UI"/>
      <w:sz w:val="18"/>
      <w:szCs w:val="18"/>
      <w:lang w:bidi="ar-SA"/>
    </w:rPr>
  </w:style>
  <w:style w:type="paragraph" w:styleId="Sarakstarindkopa">
    <w:name w:val="List Paragraph"/>
    <w:basedOn w:val="Parasts"/>
    <w:uiPriority w:val="34"/>
    <w:qFormat/>
    <w:rsid w:val="009F7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2917</Words>
  <Characters>1663</Characters>
  <Application>Microsoft Office Word</Application>
  <DocSecurity>0</DocSecurity>
  <Lines>13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LĒMUMS</vt:lpstr>
      <vt:lpstr>LĒMUMS</vt:lpstr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LĒMUMS</dc:title>
  <dc:subject/>
  <dc:creator>sanita</dc:creator>
  <cp:keywords/>
  <dc:description/>
  <cp:lastModifiedBy>Everita BALANDE</cp:lastModifiedBy>
  <cp:revision>2</cp:revision>
  <dcterms:created xsi:type="dcterms:W3CDTF">2024-05-21T11:11:00Z</dcterms:created>
  <dcterms:modified xsi:type="dcterms:W3CDTF">2024-05-21T11:11:00Z</dcterms:modified>
</cp:coreProperties>
</file>