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463" w:rsidRPr="008408FC" w:rsidRDefault="00FA5463" w:rsidP="00FA5463">
      <w:pPr>
        <w:widowControl w:val="0"/>
        <w:tabs>
          <w:tab w:val="left" w:pos="0"/>
        </w:tabs>
        <w:suppressAutoHyphens/>
        <w:autoSpaceDN w:val="0"/>
        <w:spacing w:after="0" w:line="240" w:lineRule="auto"/>
        <w:jc w:val="right"/>
        <w:textAlignment w:val="baseline"/>
        <w:rPr>
          <w:rFonts w:eastAsia="Times New Roman" w:cs="Times New Roman"/>
          <w:bCs/>
          <w:i/>
          <w:iCs/>
          <w:szCs w:val="24"/>
          <w:lang w:eastAsia="lv-LV"/>
        </w:rPr>
      </w:pPr>
      <w:r w:rsidRPr="008408FC">
        <w:rPr>
          <w:rFonts w:eastAsia="Times New Roman" w:cs="Times New Roman"/>
          <w:bCs/>
          <w:i/>
          <w:iCs/>
          <w:szCs w:val="24"/>
          <w:lang w:eastAsia="lv-LV"/>
        </w:rPr>
        <w:t>Lēmuma projekts</w:t>
      </w:r>
    </w:p>
    <w:p w:rsidR="00FA5463" w:rsidRDefault="00FA5463" w:rsidP="00FA5463">
      <w:pPr>
        <w:widowControl w:val="0"/>
        <w:tabs>
          <w:tab w:val="left" w:pos="0"/>
        </w:tabs>
        <w:suppressAutoHyphens/>
        <w:autoSpaceDN w:val="0"/>
        <w:spacing w:after="0" w:line="240" w:lineRule="auto"/>
        <w:jc w:val="right"/>
        <w:textAlignment w:val="baseline"/>
        <w:rPr>
          <w:rFonts w:eastAsia="Times New Roman" w:cs="Times New Roman"/>
          <w:bCs/>
          <w:szCs w:val="24"/>
          <w:lang w:eastAsia="lv-LV"/>
        </w:rPr>
      </w:pPr>
    </w:p>
    <w:p w:rsidR="00FA5463" w:rsidRDefault="00FA5463" w:rsidP="00FA5463">
      <w:pPr>
        <w:widowControl w:val="0"/>
        <w:tabs>
          <w:tab w:val="left" w:pos="0"/>
        </w:tabs>
        <w:suppressAutoHyphens/>
        <w:autoSpaceDN w:val="0"/>
        <w:spacing w:after="0" w:line="240" w:lineRule="auto"/>
        <w:jc w:val="center"/>
        <w:textAlignment w:val="baseline"/>
        <w:rPr>
          <w:rFonts w:cs="Times New Roman"/>
          <w:b/>
          <w:szCs w:val="24"/>
        </w:rPr>
      </w:pPr>
      <w:r>
        <w:rPr>
          <w:rFonts w:eastAsia="Times New Roman" w:cs="Times New Roman"/>
          <w:b/>
          <w:szCs w:val="24"/>
          <w:lang w:eastAsia="lv-LV"/>
        </w:rPr>
        <w:t xml:space="preserve">Par saistošo noteikumu Nr. ___/2025 “Grozījumi Alūksnes novada pašvaldības domes 2024. gada 27. jūnija </w:t>
      </w:r>
      <w:bookmarkStart w:id="0" w:name="_Hlk175229634"/>
      <w:r>
        <w:rPr>
          <w:rFonts w:eastAsia="Times New Roman" w:cs="Times New Roman"/>
          <w:b/>
          <w:szCs w:val="24"/>
          <w:lang w:eastAsia="lv-LV"/>
        </w:rPr>
        <w:t xml:space="preserve">saistošajos noteikumos Nr. 25/2024 </w:t>
      </w:r>
      <w:bookmarkEnd w:id="0"/>
      <w:r>
        <w:rPr>
          <w:rFonts w:eastAsia="Times New Roman" w:cs="Times New Roman"/>
          <w:b/>
          <w:szCs w:val="24"/>
          <w:lang w:eastAsia="lv-LV"/>
        </w:rPr>
        <w:t>“Alūksnes novada iedzīvotāju padomes nolikums</w:t>
      </w:r>
      <w:r>
        <w:rPr>
          <w:rFonts w:cs="Times New Roman"/>
          <w:b/>
          <w:szCs w:val="24"/>
        </w:rPr>
        <w:t>”” izdošanu</w:t>
      </w:r>
    </w:p>
    <w:p w:rsidR="00FA5463" w:rsidRDefault="00FA5463" w:rsidP="00FA5463">
      <w:pPr>
        <w:widowControl w:val="0"/>
        <w:tabs>
          <w:tab w:val="left" w:pos="0"/>
        </w:tabs>
        <w:suppressAutoHyphens/>
        <w:autoSpaceDN w:val="0"/>
        <w:spacing w:after="0" w:line="240" w:lineRule="auto"/>
        <w:jc w:val="center"/>
        <w:textAlignment w:val="baseline"/>
        <w:rPr>
          <w:rFonts w:cs="Times New Roman"/>
          <w:b/>
          <w:szCs w:val="24"/>
        </w:rPr>
      </w:pPr>
    </w:p>
    <w:p w:rsidR="00FA5463" w:rsidRDefault="00FA5463" w:rsidP="00FA5463">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Pamatojoties uz Pašvaldību likuma 58. panta piekto un sesto daļu,</w:t>
      </w:r>
    </w:p>
    <w:p w:rsidR="00FA5463" w:rsidRDefault="00FA5463" w:rsidP="00FA5463">
      <w:pPr>
        <w:widowControl w:val="0"/>
        <w:tabs>
          <w:tab w:val="left" w:pos="0"/>
        </w:tabs>
        <w:suppressAutoHyphens/>
        <w:autoSpaceDN w:val="0"/>
        <w:spacing w:after="0" w:line="240" w:lineRule="auto"/>
        <w:ind w:firstLine="426"/>
        <w:jc w:val="both"/>
        <w:textAlignment w:val="baseline"/>
        <w:rPr>
          <w:rFonts w:cs="Times New Roman"/>
          <w:bCs/>
          <w:szCs w:val="24"/>
        </w:rPr>
      </w:pPr>
    </w:p>
    <w:p w:rsidR="00FA5463" w:rsidRDefault="00FA5463" w:rsidP="00FA5463">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izdot saistošos noteikumus Nr. ___/2025 “Grozījumi Alūksnes novada pašvaldības domes 2024. gada 27. jūnija saistošajos noteikumos Nr. 25/2024 “Alūksnes novada iedzīvotāju padomes nolikums””.</w:t>
      </w:r>
    </w:p>
    <w:p w:rsidR="00FA5463" w:rsidRDefault="00FA5463" w:rsidP="00FA5463">
      <w:pPr>
        <w:widowControl w:val="0"/>
        <w:tabs>
          <w:tab w:val="left" w:pos="0"/>
        </w:tabs>
        <w:suppressAutoHyphens/>
        <w:autoSpaceDN w:val="0"/>
        <w:spacing w:after="0" w:line="240" w:lineRule="auto"/>
        <w:jc w:val="both"/>
        <w:textAlignment w:val="baseline"/>
        <w:rPr>
          <w:rFonts w:cs="Times New Roman"/>
          <w:bCs/>
          <w:szCs w:val="24"/>
        </w:rPr>
      </w:pPr>
    </w:p>
    <w:p w:rsidR="00FA5463" w:rsidRDefault="00FA5463" w:rsidP="00FA5463">
      <w:pPr>
        <w:spacing w:after="0" w:line="240" w:lineRule="auto"/>
        <w:jc w:val="right"/>
        <w:rPr>
          <w:i/>
          <w:iCs/>
        </w:rPr>
      </w:pPr>
    </w:p>
    <w:p w:rsidR="00FA5463" w:rsidRPr="008408FC" w:rsidRDefault="00FA5463" w:rsidP="00FA5463">
      <w:pPr>
        <w:spacing w:after="0" w:line="240" w:lineRule="auto"/>
        <w:jc w:val="right"/>
        <w:rPr>
          <w:i/>
          <w:iCs/>
        </w:rPr>
      </w:pPr>
      <w:r w:rsidRPr="008408FC">
        <w:rPr>
          <w:i/>
          <w:iCs/>
        </w:rPr>
        <w:t>Saistošo noteikumu projekts</w:t>
      </w:r>
    </w:p>
    <w:p w:rsidR="00FA5463" w:rsidRDefault="00FA5463" w:rsidP="00FA5463">
      <w:pPr>
        <w:spacing w:after="0" w:line="240" w:lineRule="auto"/>
        <w:jc w:val="center"/>
        <w:rPr>
          <w:b/>
          <w:bCs/>
        </w:rPr>
      </w:pPr>
    </w:p>
    <w:p w:rsidR="00FA5463" w:rsidRDefault="00FA5463" w:rsidP="00FA5463">
      <w:pPr>
        <w:spacing w:after="0" w:line="240" w:lineRule="auto"/>
        <w:jc w:val="center"/>
        <w:rPr>
          <w:b/>
          <w:bCs/>
        </w:rPr>
      </w:pPr>
      <w:r>
        <w:rPr>
          <w:b/>
          <w:bCs/>
        </w:rPr>
        <w:t>Grozījumi Alūksnes novada pašvaldības domes 2024. gada 27. jūnija</w:t>
      </w:r>
      <w:r w:rsidRPr="00EB0F51">
        <w:rPr>
          <w:rFonts w:eastAsia="Times New Roman" w:cs="Times New Roman"/>
          <w:b/>
          <w:szCs w:val="24"/>
          <w:lang w:eastAsia="lv-LV"/>
        </w:rPr>
        <w:t xml:space="preserve"> </w:t>
      </w:r>
      <w:r>
        <w:rPr>
          <w:rFonts w:eastAsia="Times New Roman" w:cs="Times New Roman"/>
          <w:b/>
          <w:szCs w:val="24"/>
          <w:lang w:eastAsia="lv-LV"/>
        </w:rPr>
        <w:t xml:space="preserve">saistošajos noteikumos Nr. 25/2024 </w:t>
      </w:r>
      <w:r>
        <w:rPr>
          <w:b/>
          <w:bCs/>
        </w:rPr>
        <w:t>“Alūksnes novada iedzīvotāju padomes nolikums”</w:t>
      </w:r>
    </w:p>
    <w:p w:rsidR="00FA5463" w:rsidRDefault="00FA5463" w:rsidP="00FA5463">
      <w:pPr>
        <w:spacing w:after="0" w:line="240" w:lineRule="auto"/>
        <w:jc w:val="center"/>
        <w:rPr>
          <w:b/>
          <w:bCs/>
        </w:rPr>
      </w:pPr>
    </w:p>
    <w:p w:rsidR="00FA5463" w:rsidRDefault="00FA5463" w:rsidP="00FA5463">
      <w:pPr>
        <w:spacing w:after="0" w:line="240" w:lineRule="auto"/>
        <w:jc w:val="right"/>
        <w:rPr>
          <w:i/>
          <w:iCs/>
        </w:rPr>
      </w:pPr>
      <w:r w:rsidRPr="00AB0707">
        <w:rPr>
          <w:i/>
          <w:iCs/>
        </w:rPr>
        <w:t xml:space="preserve">Izdoti saskaņā ar Pašvaldību likuma 58. panta </w:t>
      </w:r>
      <w:r>
        <w:rPr>
          <w:i/>
          <w:iCs/>
        </w:rPr>
        <w:t xml:space="preserve">piekto un </w:t>
      </w:r>
      <w:r w:rsidRPr="00AB0707">
        <w:rPr>
          <w:i/>
          <w:iCs/>
        </w:rPr>
        <w:t>sesto daļu</w:t>
      </w:r>
    </w:p>
    <w:p w:rsidR="00FA5463" w:rsidRDefault="00FA5463" w:rsidP="00FA5463">
      <w:pPr>
        <w:spacing w:after="0" w:line="240" w:lineRule="auto"/>
        <w:jc w:val="right"/>
        <w:rPr>
          <w:i/>
          <w:iCs/>
        </w:rPr>
      </w:pPr>
    </w:p>
    <w:p w:rsidR="00FA5463" w:rsidRDefault="00FA5463" w:rsidP="00FA5463">
      <w:pPr>
        <w:pStyle w:val="Sarakstarindkopa"/>
        <w:spacing w:after="0" w:line="240" w:lineRule="auto"/>
        <w:ind w:left="0" w:firstLine="284"/>
        <w:jc w:val="both"/>
        <w:rPr>
          <w:rFonts w:cs="Times New Roman"/>
          <w:szCs w:val="24"/>
        </w:rPr>
      </w:pPr>
      <w:bookmarkStart w:id="1" w:name="_Hlk181884226"/>
      <w:r>
        <w:rPr>
          <w:rFonts w:cs="Times New Roman"/>
          <w:szCs w:val="24"/>
        </w:rPr>
        <w:t>Izdarīt Alūksnes novada pašvaldības domes 2024. gada 27. jūnija saistošajos noteikumos Nr. 25/2024 šādus grozījumus:</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Papildināt saistošo noteikumu izdošanas tiesisko pamatojumu ar atsauci uz Pašvaldību likuma 58. panta piekto daļu.</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Papildināt 8. punktu ar otro teikumu: “Persona vēlē tajā pašvaldības teritoriālajā vienībā, kur ir deklarēta tās dzīvesvieta.”</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Svītrot 12. punktā vārdu iekavās “(pielikums)”.</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Papildināt saistošos noteikumus ar punktu šādā redakcijā:</w:t>
      </w:r>
    </w:p>
    <w:p w:rsidR="00FA5463" w:rsidRPr="0024307A" w:rsidRDefault="00FA5463" w:rsidP="00FA5463">
      <w:pPr>
        <w:pStyle w:val="Sarakstarindkopa"/>
        <w:spacing w:after="0" w:line="240" w:lineRule="auto"/>
        <w:ind w:left="284"/>
        <w:jc w:val="both"/>
        <w:rPr>
          <w:rFonts w:cs="Times New Roman"/>
          <w:szCs w:val="24"/>
        </w:rPr>
      </w:pPr>
      <w:r>
        <w:rPr>
          <w:rFonts w:cs="Times New Roman"/>
          <w:szCs w:val="24"/>
        </w:rPr>
        <w:t>“14.</w:t>
      </w:r>
      <w:r w:rsidRPr="0024307A">
        <w:rPr>
          <w:rFonts w:cs="Times New Roman"/>
          <w:szCs w:val="24"/>
          <w:vertAlign w:val="superscript"/>
        </w:rPr>
        <w:t>1</w:t>
      </w:r>
      <w:r>
        <w:rPr>
          <w:rFonts w:cs="Times New Roman"/>
          <w:szCs w:val="24"/>
          <w:vertAlign w:val="superscript"/>
        </w:rPr>
        <w:t xml:space="preserve"> </w:t>
      </w:r>
      <w:r>
        <w:rPr>
          <w:rFonts w:cs="Times New Roman"/>
          <w:szCs w:val="24"/>
        </w:rPr>
        <w:t>Ja kandidātu pieteikumā ir konstatētas neatbilstības, pašvaldība nosaka termiņu to novēršanai. Ja noteiktajā termiņā neatbilstības nav novērstas, kandidāta pieteikums atzīstams par neatbilstošu.”</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Aizstāt 15. punktā vārdu “apstiprina” ar vārdu “izziņo”.</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Aizstāt 16. punktā vārdus “vēlēšanu rīkotāja” ar vārdu “pašvaldības”.</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18. punktā:</w:t>
      </w:r>
    </w:p>
    <w:p w:rsidR="00FA5463" w:rsidRDefault="00FA5463" w:rsidP="00FA5463">
      <w:pPr>
        <w:pStyle w:val="Sarakstarindkopa"/>
        <w:spacing w:after="0" w:line="240" w:lineRule="auto"/>
        <w:ind w:left="426" w:hanging="142"/>
        <w:jc w:val="both"/>
        <w:rPr>
          <w:rFonts w:cs="Times New Roman"/>
          <w:szCs w:val="24"/>
        </w:rPr>
      </w:pPr>
      <w:r>
        <w:rPr>
          <w:rFonts w:cs="Times New Roman"/>
          <w:szCs w:val="24"/>
        </w:rPr>
        <w:t>aizstāt vārdu “apstiprina” ar vārdu “izziņo”,</w:t>
      </w:r>
    </w:p>
    <w:p w:rsidR="00FA5463" w:rsidRDefault="00FA5463" w:rsidP="00FA5463">
      <w:pPr>
        <w:pStyle w:val="Sarakstarindkopa"/>
        <w:spacing w:after="0" w:line="240" w:lineRule="auto"/>
        <w:ind w:left="426" w:hanging="142"/>
        <w:jc w:val="both"/>
        <w:rPr>
          <w:rFonts w:cs="Times New Roman"/>
          <w:szCs w:val="24"/>
        </w:rPr>
      </w:pPr>
      <w:r>
        <w:rPr>
          <w:rFonts w:cs="Times New Roman"/>
          <w:szCs w:val="24"/>
        </w:rPr>
        <w:t>svītrot vārdus “ar rīkojumu”.</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Aizstāt 22. punktā vārdu “apstiprina” ar vārdu “fiksē”.</w:t>
      </w:r>
    </w:p>
    <w:p w:rsidR="00FA5463" w:rsidRDefault="00FA5463" w:rsidP="00FA5463">
      <w:pPr>
        <w:pStyle w:val="Sarakstarindkopa"/>
        <w:numPr>
          <w:ilvl w:val="1"/>
          <w:numId w:val="1"/>
        </w:numPr>
        <w:spacing w:after="0" w:line="240" w:lineRule="auto"/>
        <w:ind w:left="284" w:hanging="284"/>
        <w:jc w:val="both"/>
        <w:rPr>
          <w:rFonts w:cs="Times New Roman"/>
          <w:szCs w:val="24"/>
        </w:rPr>
      </w:pPr>
      <w:r>
        <w:rPr>
          <w:rFonts w:cs="Times New Roman"/>
          <w:szCs w:val="24"/>
        </w:rPr>
        <w:t xml:space="preserve">23. punktā: </w:t>
      </w:r>
    </w:p>
    <w:p w:rsidR="00FA5463" w:rsidRDefault="00FA5463" w:rsidP="00FA5463">
      <w:pPr>
        <w:pStyle w:val="Sarakstarindkopa"/>
        <w:spacing w:after="0" w:line="240" w:lineRule="auto"/>
        <w:ind w:left="284"/>
        <w:jc w:val="both"/>
        <w:rPr>
          <w:rFonts w:cs="Times New Roman"/>
          <w:szCs w:val="24"/>
        </w:rPr>
      </w:pPr>
      <w:r>
        <w:rPr>
          <w:rFonts w:cs="Times New Roman"/>
          <w:szCs w:val="24"/>
        </w:rPr>
        <w:t>aizstāt</w:t>
      </w:r>
      <w:r w:rsidRPr="002674B9">
        <w:rPr>
          <w:rFonts w:cs="Times New Roman"/>
          <w:szCs w:val="24"/>
        </w:rPr>
        <w:t xml:space="preserve"> </w:t>
      </w:r>
      <w:r>
        <w:rPr>
          <w:rFonts w:cs="Times New Roman"/>
          <w:szCs w:val="24"/>
        </w:rPr>
        <w:t>vārdu “apstiprina” ar vārdu “izziņo”,</w:t>
      </w:r>
    </w:p>
    <w:p w:rsidR="00FA5463" w:rsidRDefault="00FA5463" w:rsidP="00FA5463">
      <w:pPr>
        <w:pStyle w:val="Sarakstarindkopa"/>
        <w:spacing w:after="0" w:line="240" w:lineRule="auto"/>
        <w:ind w:left="284"/>
        <w:jc w:val="both"/>
        <w:rPr>
          <w:rFonts w:cs="Times New Roman"/>
          <w:szCs w:val="24"/>
        </w:rPr>
      </w:pPr>
      <w:r>
        <w:rPr>
          <w:rFonts w:cs="Times New Roman"/>
          <w:szCs w:val="24"/>
        </w:rPr>
        <w:t>svītrot vārdus “ar rīkojumu”.</w:t>
      </w:r>
    </w:p>
    <w:p w:rsidR="00FA5463" w:rsidRDefault="00FA5463" w:rsidP="00FA5463">
      <w:pPr>
        <w:pStyle w:val="Sarakstarindkopa"/>
        <w:numPr>
          <w:ilvl w:val="1"/>
          <w:numId w:val="1"/>
        </w:numPr>
        <w:spacing w:after="0" w:line="240" w:lineRule="auto"/>
        <w:ind w:left="426" w:hanging="426"/>
        <w:jc w:val="both"/>
        <w:rPr>
          <w:rFonts w:cs="Times New Roman"/>
          <w:szCs w:val="24"/>
        </w:rPr>
      </w:pPr>
      <w:r>
        <w:rPr>
          <w:rFonts w:cs="Times New Roman"/>
          <w:szCs w:val="24"/>
        </w:rPr>
        <w:t>Svītrot 35. punktā vārdus “un izvairās no interešu konflikta”.</w:t>
      </w:r>
    </w:p>
    <w:p w:rsidR="00FA5463" w:rsidRDefault="00FA5463" w:rsidP="00FA5463">
      <w:pPr>
        <w:pStyle w:val="Sarakstarindkopa"/>
        <w:numPr>
          <w:ilvl w:val="1"/>
          <w:numId w:val="1"/>
        </w:numPr>
        <w:spacing w:after="0" w:line="240" w:lineRule="auto"/>
        <w:ind w:left="426" w:hanging="426"/>
        <w:jc w:val="both"/>
        <w:rPr>
          <w:rFonts w:cs="Times New Roman"/>
          <w:szCs w:val="24"/>
        </w:rPr>
      </w:pPr>
      <w:r>
        <w:rPr>
          <w:rFonts w:cs="Times New Roman"/>
          <w:szCs w:val="24"/>
        </w:rPr>
        <w:t>Papildināt 36. punktu aiz vārda “pieļāvis” ar frāzi “35. punktā noteikto”.</w:t>
      </w:r>
    </w:p>
    <w:p w:rsidR="00FA5463" w:rsidRDefault="00FA5463" w:rsidP="00FA5463">
      <w:pPr>
        <w:pStyle w:val="Sarakstarindkopa"/>
        <w:numPr>
          <w:ilvl w:val="1"/>
          <w:numId w:val="1"/>
        </w:numPr>
        <w:spacing w:after="0" w:line="240" w:lineRule="auto"/>
        <w:ind w:left="426" w:hanging="426"/>
        <w:jc w:val="both"/>
        <w:rPr>
          <w:rFonts w:cs="Times New Roman"/>
          <w:szCs w:val="24"/>
        </w:rPr>
      </w:pPr>
      <w:r>
        <w:rPr>
          <w:rFonts w:cs="Times New Roman"/>
          <w:szCs w:val="24"/>
        </w:rPr>
        <w:t>Papildināt saistošos noteikumus ar 43.</w:t>
      </w:r>
      <w:r w:rsidRPr="005510A1">
        <w:rPr>
          <w:rFonts w:cs="Times New Roman"/>
          <w:szCs w:val="24"/>
          <w:vertAlign w:val="superscript"/>
        </w:rPr>
        <w:t>1</w:t>
      </w:r>
      <w:r>
        <w:rPr>
          <w:rFonts w:cs="Times New Roman"/>
          <w:szCs w:val="24"/>
        </w:rPr>
        <w:t xml:space="preserve"> punktu šādā redakcijā: </w:t>
      </w:r>
    </w:p>
    <w:p w:rsidR="00FA5463" w:rsidRDefault="00FA5463" w:rsidP="00FA5463">
      <w:pPr>
        <w:pStyle w:val="Sarakstarindkopa"/>
        <w:spacing w:after="0" w:line="240" w:lineRule="auto"/>
        <w:ind w:left="284" w:firstLine="142"/>
        <w:jc w:val="both"/>
        <w:rPr>
          <w:rFonts w:cs="Times New Roman"/>
          <w:szCs w:val="24"/>
        </w:rPr>
      </w:pPr>
      <w:r>
        <w:rPr>
          <w:rFonts w:cs="Times New Roman"/>
          <w:szCs w:val="24"/>
        </w:rPr>
        <w:t>“43.</w:t>
      </w:r>
      <w:r w:rsidRPr="005510A1">
        <w:rPr>
          <w:rFonts w:cs="Times New Roman"/>
          <w:szCs w:val="24"/>
          <w:vertAlign w:val="superscript"/>
        </w:rPr>
        <w:t>1</w:t>
      </w:r>
      <w:r>
        <w:rPr>
          <w:rFonts w:cs="Times New Roman"/>
          <w:szCs w:val="24"/>
        </w:rPr>
        <w:t xml:space="preserve"> Padomes iesniegumus pašvaldība izskata Iesniegumu likumā noteiktajā kārtībā.”</w:t>
      </w:r>
    </w:p>
    <w:p w:rsidR="00FA5463" w:rsidRDefault="00FA5463" w:rsidP="00FA5463">
      <w:pPr>
        <w:pStyle w:val="Sarakstarindkopa"/>
        <w:numPr>
          <w:ilvl w:val="1"/>
          <w:numId w:val="1"/>
        </w:numPr>
        <w:spacing w:after="0" w:line="240" w:lineRule="auto"/>
        <w:ind w:left="426" w:hanging="426"/>
        <w:jc w:val="both"/>
        <w:rPr>
          <w:rFonts w:cs="Times New Roman"/>
          <w:szCs w:val="24"/>
        </w:rPr>
      </w:pPr>
      <w:r>
        <w:rPr>
          <w:rFonts w:cs="Times New Roman"/>
          <w:szCs w:val="24"/>
        </w:rPr>
        <w:t>Papildināt saistošos noteikumus ar 43.</w:t>
      </w:r>
      <w:r>
        <w:rPr>
          <w:rFonts w:cs="Times New Roman"/>
          <w:szCs w:val="24"/>
          <w:vertAlign w:val="superscript"/>
        </w:rPr>
        <w:t>2</w:t>
      </w:r>
      <w:r>
        <w:rPr>
          <w:rFonts w:cs="Times New Roman"/>
          <w:szCs w:val="24"/>
        </w:rPr>
        <w:t> punktu šādā redakcijā:</w:t>
      </w:r>
    </w:p>
    <w:p w:rsidR="00FA5463" w:rsidRDefault="00FA5463" w:rsidP="00FA5463">
      <w:pPr>
        <w:pStyle w:val="Sarakstarindkopa"/>
        <w:spacing w:after="0" w:line="240" w:lineRule="auto"/>
        <w:ind w:left="284"/>
        <w:jc w:val="both"/>
        <w:rPr>
          <w:rFonts w:cs="Times New Roman"/>
          <w:szCs w:val="24"/>
        </w:rPr>
      </w:pPr>
      <w:r>
        <w:rPr>
          <w:rFonts w:cs="Times New Roman"/>
          <w:szCs w:val="24"/>
        </w:rPr>
        <w:t>“43.</w:t>
      </w:r>
      <w:r w:rsidRPr="00C8674E">
        <w:rPr>
          <w:rFonts w:cs="Times New Roman"/>
          <w:szCs w:val="24"/>
          <w:vertAlign w:val="superscript"/>
        </w:rPr>
        <w:t>2</w:t>
      </w:r>
      <w:r>
        <w:rPr>
          <w:rFonts w:cs="Times New Roman"/>
          <w:szCs w:val="24"/>
        </w:rPr>
        <w:t xml:space="preserve"> Pašvaldība nodrošina no padomes saņemtā lēmuma projekta tiesiskuma iepriekšēju pārbaudi un atbilstības pašvaldības budžetam izvērtēšanu, kā arī atzinuma saņemšanu no domes komitejām un virzības izskatīšanai domes sēdē procedūru atbilstoši pašvaldības darba reglamentā noteiktajai kārtībai.”</w:t>
      </w:r>
    </w:p>
    <w:p w:rsidR="00FA5463" w:rsidRDefault="00FA5463" w:rsidP="00FA5463">
      <w:pPr>
        <w:pStyle w:val="Sarakstarindkopa"/>
        <w:spacing w:after="0" w:line="240" w:lineRule="auto"/>
        <w:ind w:left="993"/>
        <w:jc w:val="both"/>
        <w:rPr>
          <w:rFonts w:cs="Times New Roman"/>
          <w:szCs w:val="24"/>
        </w:rPr>
      </w:pPr>
    </w:p>
    <w:bookmarkEnd w:id="1"/>
    <w:p w:rsidR="00FA5463" w:rsidRPr="00190B37" w:rsidRDefault="00FA5463" w:rsidP="00FA5463">
      <w:pPr>
        <w:pStyle w:val="Sarakstarindkopa"/>
        <w:spacing w:after="0" w:line="240" w:lineRule="auto"/>
        <w:ind w:left="360"/>
        <w:jc w:val="both"/>
        <w:rPr>
          <w:rFonts w:cs="Times New Roman"/>
          <w:szCs w:val="24"/>
        </w:rPr>
      </w:pPr>
    </w:p>
    <w:p w:rsidR="00FA5463" w:rsidRDefault="00FA5463" w:rsidP="00FA5463">
      <w:pPr>
        <w:spacing w:after="0" w:line="240" w:lineRule="auto"/>
      </w:pPr>
      <w:r>
        <w:br w:type="page"/>
      </w:r>
    </w:p>
    <w:p w:rsidR="00FA5463" w:rsidRPr="00FA6E75" w:rsidRDefault="00FA5463" w:rsidP="00FA5463">
      <w:pPr>
        <w:spacing w:after="0" w:line="240" w:lineRule="auto"/>
        <w:ind w:left="357"/>
        <w:jc w:val="center"/>
        <w:rPr>
          <w:b/>
          <w:bCs/>
        </w:rPr>
      </w:pPr>
      <w:r w:rsidRPr="00FA6E75">
        <w:rPr>
          <w:b/>
          <w:bCs/>
        </w:rPr>
        <w:lastRenderedPageBreak/>
        <w:t>Paskaidrojuma raksts</w:t>
      </w:r>
    </w:p>
    <w:p w:rsidR="00FA5463" w:rsidRDefault="00FA5463" w:rsidP="00FA5463">
      <w:pPr>
        <w:spacing w:after="0" w:line="240" w:lineRule="auto"/>
        <w:ind w:left="357"/>
        <w:jc w:val="center"/>
        <w:rPr>
          <w:rFonts w:cs="Times New Roman"/>
          <w:b/>
          <w:bCs/>
          <w:szCs w:val="24"/>
        </w:rPr>
      </w:pPr>
      <w:r w:rsidRPr="00FA6E75">
        <w:rPr>
          <w:b/>
          <w:bCs/>
        </w:rPr>
        <w:t>Alūksnes novada</w:t>
      </w:r>
      <w:r w:rsidRPr="00FA6E75">
        <w:rPr>
          <w:rFonts w:eastAsia="Times New Roman" w:cs="Times New Roman"/>
          <w:b/>
          <w:bCs/>
          <w:szCs w:val="24"/>
          <w:lang w:eastAsia="lv-LV"/>
        </w:rPr>
        <w:t xml:space="preserve"> pašvaldības domes 202</w:t>
      </w:r>
      <w:r>
        <w:rPr>
          <w:rFonts w:eastAsia="Times New Roman" w:cs="Times New Roman"/>
          <w:b/>
          <w:bCs/>
          <w:szCs w:val="24"/>
          <w:lang w:eastAsia="lv-LV"/>
        </w:rPr>
        <w:t>5</w:t>
      </w:r>
      <w:r w:rsidRPr="00FA6E75">
        <w:rPr>
          <w:rFonts w:eastAsia="Times New Roman" w:cs="Times New Roman"/>
          <w:b/>
          <w:bCs/>
          <w:szCs w:val="24"/>
          <w:lang w:eastAsia="lv-LV"/>
        </w:rPr>
        <w:t>. gada ____ saistošajiem noteikumiem Nr. ___/202</w:t>
      </w:r>
      <w:r>
        <w:rPr>
          <w:rFonts w:eastAsia="Times New Roman" w:cs="Times New Roman"/>
          <w:b/>
          <w:bCs/>
          <w:szCs w:val="24"/>
          <w:lang w:eastAsia="lv-LV"/>
        </w:rPr>
        <w:t>5</w:t>
      </w:r>
      <w:r w:rsidRPr="00FA6E75">
        <w:rPr>
          <w:rFonts w:eastAsia="Times New Roman" w:cs="Times New Roman"/>
          <w:b/>
          <w:bCs/>
          <w:szCs w:val="24"/>
          <w:lang w:eastAsia="lv-LV"/>
        </w:rPr>
        <w:t xml:space="preserve"> “Grozījum</w:t>
      </w:r>
      <w:r>
        <w:rPr>
          <w:rFonts w:eastAsia="Times New Roman" w:cs="Times New Roman"/>
          <w:b/>
          <w:bCs/>
          <w:szCs w:val="24"/>
          <w:lang w:eastAsia="lv-LV"/>
        </w:rPr>
        <w:t>i</w:t>
      </w:r>
      <w:r w:rsidRPr="00FA6E75">
        <w:rPr>
          <w:rFonts w:eastAsia="Times New Roman" w:cs="Times New Roman"/>
          <w:b/>
          <w:bCs/>
          <w:szCs w:val="24"/>
          <w:lang w:eastAsia="lv-LV"/>
        </w:rPr>
        <w:t xml:space="preserve"> Alūksnes novada pašvaldības domes 2024. gada 27. jūnija saistošajos noteikumos Nr. 25/2024 “Alūksnes novada iedzīvotāju padomes nolikums</w:t>
      </w:r>
      <w:r w:rsidRPr="00FA6E75">
        <w:rPr>
          <w:rFonts w:cs="Times New Roman"/>
          <w:b/>
          <w:bCs/>
          <w:szCs w:val="24"/>
        </w:rPr>
        <w:t>””</w:t>
      </w:r>
    </w:p>
    <w:p w:rsidR="00FA5463" w:rsidRPr="00FA6E75" w:rsidRDefault="00FA5463" w:rsidP="00FA5463">
      <w:pPr>
        <w:spacing w:after="0" w:line="240" w:lineRule="auto"/>
        <w:ind w:left="357"/>
        <w:jc w:val="center"/>
        <w:rPr>
          <w:b/>
          <w:bCs/>
        </w:rPr>
      </w:pPr>
    </w:p>
    <w:tbl>
      <w:tblPr>
        <w:tblStyle w:val="Reatabula"/>
        <w:tblW w:w="0" w:type="auto"/>
        <w:tblInd w:w="360" w:type="dxa"/>
        <w:tblLook w:val="04A0" w:firstRow="1" w:lastRow="0" w:firstColumn="1" w:lastColumn="0" w:noHBand="0" w:noVBand="1"/>
      </w:tblPr>
      <w:tblGrid>
        <w:gridCol w:w="3212"/>
        <w:gridCol w:w="5149"/>
      </w:tblGrid>
      <w:tr w:rsidR="00FA5463" w:rsidRPr="00FA5463" w:rsidTr="00556013">
        <w:tc>
          <w:tcPr>
            <w:tcW w:w="3321" w:type="dxa"/>
          </w:tcPr>
          <w:p w:rsidR="00FA5463" w:rsidRPr="00FA5463" w:rsidRDefault="00FA5463" w:rsidP="00556013">
            <w:pPr>
              <w:jc w:val="both"/>
              <w:rPr>
                <w:szCs w:val="24"/>
              </w:rPr>
            </w:pPr>
            <w:r w:rsidRPr="00FA5463">
              <w:rPr>
                <w:szCs w:val="24"/>
              </w:rPr>
              <w:t>Mērķis un nepieciešamības pamatojums</w:t>
            </w:r>
          </w:p>
        </w:tc>
        <w:tc>
          <w:tcPr>
            <w:tcW w:w="5380" w:type="dxa"/>
          </w:tcPr>
          <w:p w:rsidR="00FA5463" w:rsidRPr="00FA5463" w:rsidRDefault="00FA5463" w:rsidP="00556013">
            <w:pPr>
              <w:jc w:val="both"/>
              <w:rPr>
                <w:szCs w:val="24"/>
              </w:rPr>
            </w:pPr>
            <w:r w:rsidRPr="00FA5463">
              <w:rPr>
                <w:szCs w:val="24"/>
              </w:rPr>
              <w:t xml:space="preserve">Alūksnes novada pašvaldības 2024. gada 27. jūnija saistošo noteikumu Nr. 25/2024 “Alūksnes novada iedzīvotāju padomes nolikums” grozījumu mērķis ir nodrošināt to atbilstību augstāka juridiska spēka normatīvajam aktam, kā arī detalizēt vēlēšanu procesa norises kārtību un noteikt saprātīgu risinājumu, ja konstatētas kļūdas iedzīvotāju padomes kandidātu pieteikšanā. </w:t>
            </w:r>
          </w:p>
          <w:p w:rsidR="00FA5463" w:rsidRPr="00FA5463" w:rsidRDefault="00FA5463" w:rsidP="00556013">
            <w:pPr>
              <w:pStyle w:val="Virsraksts3"/>
              <w:shd w:val="clear" w:color="auto" w:fill="FFFFFF"/>
              <w:spacing w:before="0"/>
              <w:jc w:val="both"/>
              <w:rPr>
                <w:rFonts w:ascii="Times New Roman" w:hAnsi="Times New Roman" w:cs="Times New Roman"/>
                <w:color w:val="auto"/>
                <w:sz w:val="24"/>
                <w:szCs w:val="24"/>
              </w:rPr>
            </w:pPr>
            <w:r w:rsidRPr="00FA5463">
              <w:rPr>
                <w:rFonts w:ascii="Times New Roman" w:hAnsi="Times New Roman" w:cs="Times New Roman"/>
                <w:color w:val="auto"/>
                <w:sz w:val="24"/>
                <w:szCs w:val="24"/>
              </w:rPr>
              <w:t>Grozījumi paredz saistošo noteikumu izdošanas tiesisko pamatu papildināt ar atsauci uz Pašvaldību likuma 58. panta piekto daļu, saskaņā ar kuru pašvaldība noteic ar dzīvesvietu saistītu priekšnoteikumu personu dalībai iedzīvotāju padomes vēlēšanās.</w:t>
            </w:r>
          </w:p>
          <w:p w:rsidR="00FA5463" w:rsidRPr="00FA5463" w:rsidRDefault="00FA5463" w:rsidP="00556013">
            <w:pPr>
              <w:jc w:val="both"/>
              <w:rPr>
                <w:szCs w:val="24"/>
              </w:rPr>
            </w:pPr>
            <w:r w:rsidRPr="00FA5463">
              <w:rPr>
                <w:szCs w:val="24"/>
              </w:rPr>
              <w:t>Saistošo noteikumu 8. punkta papildināšana precizē 16.</w:t>
            </w:r>
            <w:r w:rsidRPr="00FA5463">
              <w:rPr>
                <w:szCs w:val="24"/>
                <w:vertAlign w:val="superscript"/>
              </w:rPr>
              <w:t>1 </w:t>
            </w:r>
            <w:r w:rsidRPr="00FA5463">
              <w:rPr>
                <w:szCs w:val="24"/>
              </w:rPr>
              <w:t>punkta piemērošanu.</w:t>
            </w:r>
          </w:p>
          <w:p w:rsidR="00FA5463" w:rsidRPr="00FA5463" w:rsidRDefault="00FA5463" w:rsidP="00556013">
            <w:pPr>
              <w:pStyle w:val="Virsraksts3"/>
              <w:shd w:val="clear" w:color="auto" w:fill="FFFFFF"/>
              <w:spacing w:before="0"/>
              <w:jc w:val="both"/>
              <w:rPr>
                <w:rFonts w:ascii="Times New Roman" w:hAnsi="Times New Roman" w:cs="Times New Roman"/>
                <w:color w:val="auto"/>
                <w:sz w:val="24"/>
                <w:szCs w:val="24"/>
              </w:rPr>
            </w:pPr>
            <w:r w:rsidRPr="00FA5463">
              <w:rPr>
                <w:rFonts w:ascii="Times New Roman" w:hAnsi="Times New Roman" w:cs="Times New Roman"/>
                <w:color w:val="auto"/>
                <w:sz w:val="24"/>
                <w:szCs w:val="24"/>
              </w:rPr>
              <w:t>Grozījumi saistošo noteikumu 15., 18., 22. un 23. punktā redakcionāli precizē vēlēšanu procesa neatkarību un nošķirtību pašvaldības administratīvās darbības. Arī turpmāk pašvaldības izpilddirektors kā pašvaldības iestādes “Centrālā administrācija”, kas ir atbildīga par iedzīvotāju padomes izveides organizatorisko procesu, vadītājs fiksēs atsevišķu etapu noslēgumu, kas nepieciešams, lai nodrošinātu iedzīvotāju padomes vēlēšanu un darbības procesa dokumentēšanu un saglabāšanu arhīvā.</w:t>
            </w:r>
          </w:p>
          <w:p w:rsidR="00FA5463" w:rsidRPr="00FA5463" w:rsidRDefault="00FA5463" w:rsidP="00556013">
            <w:pPr>
              <w:jc w:val="both"/>
              <w:rPr>
                <w:szCs w:val="24"/>
              </w:rPr>
            </w:pPr>
            <w:r w:rsidRPr="00FA5463">
              <w:rPr>
                <w:szCs w:val="24"/>
              </w:rPr>
              <w:t>Saistošie noteikumi tiek papildināti ar 14.</w:t>
            </w:r>
            <w:r w:rsidRPr="00FA5463">
              <w:rPr>
                <w:szCs w:val="24"/>
                <w:vertAlign w:val="superscript"/>
              </w:rPr>
              <w:t>1 </w:t>
            </w:r>
            <w:r w:rsidRPr="00FA5463">
              <w:rPr>
                <w:szCs w:val="24"/>
              </w:rPr>
              <w:t>punktu, nosakot, ka gadījumos, kad pārbaudot kandidātu pieteikumus tiek konstatētas neatbilstības, iesniedzējam tiek dots laiks to novēršanai.</w:t>
            </w:r>
          </w:p>
          <w:p w:rsidR="00FA5463" w:rsidRPr="00FA5463" w:rsidRDefault="00FA5463" w:rsidP="00556013">
            <w:pPr>
              <w:pStyle w:val="Virsraksts3"/>
              <w:shd w:val="clear" w:color="auto" w:fill="FFFFFF"/>
              <w:spacing w:before="0"/>
              <w:jc w:val="both"/>
              <w:rPr>
                <w:rFonts w:ascii="Times New Roman" w:hAnsi="Times New Roman" w:cs="Times New Roman"/>
                <w:color w:val="auto"/>
                <w:sz w:val="24"/>
                <w:szCs w:val="24"/>
              </w:rPr>
            </w:pPr>
            <w:r w:rsidRPr="00FA5463">
              <w:rPr>
                <w:rFonts w:ascii="Times New Roman" w:hAnsi="Times New Roman" w:cs="Times New Roman"/>
                <w:color w:val="auto"/>
                <w:sz w:val="24"/>
                <w:szCs w:val="24"/>
              </w:rPr>
              <w:t>Iedzīvotāju padomes vēlēšanu organizēšanai pašvaldībai nav pieejams elektroniskais tiešsaistes vēlētāju reģistrs, tādēļ ir sastādāms vēlētāju reģistrs pa novada teritoriālajām vienībām. Šāda saraksta sastādīšanai pašvaldībai ir jāiegūst dati no Pilsonības un migrācijas lietu pārvaldes, tādēļ saistošajos noteikumos nav nosakāms precīzs saraksta sastādīšanas termiņš.</w:t>
            </w:r>
          </w:p>
          <w:p w:rsidR="00FA5463" w:rsidRPr="00FA5463" w:rsidRDefault="00FA5463" w:rsidP="00556013">
            <w:pPr>
              <w:jc w:val="both"/>
              <w:rPr>
                <w:szCs w:val="24"/>
              </w:rPr>
            </w:pPr>
            <w:r w:rsidRPr="00FA5463">
              <w:rPr>
                <w:szCs w:val="24"/>
              </w:rPr>
              <w:t xml:space="preserve">Tāpat arī ar redakcionālām izmaiņām saistošo noteikumu 35. un 36. punktā tiek padarīts skaidrāks normas mērķis, proti, ka iedzīvotāju padomes </w:t>
            </w:r>
            <w:r w:rsidRPr="00FA5463">
              <w:rPr>
                <w:szCs w:val="24"/>
              </w:rPr>
              <w:lastRenderedPageBreak/>
              <w:t>loceklis darbojas sabiedrības interesēs un nepiedalās tādu jautājumu izskatīšanā un lēmumu pieņemšanā, kas skar paša padomes locekļa, viņa radinieka, vai viņiem piederoša uzņēmuma personiskas vai mantiskas intereses, kas uzskatāms par interešu konfliktu.</w:t>
            </w:r>
            <w:r w:rsidRPr="00FA5463">
              <w:rPr>
                <w:rFonts w:cs="Times New Roman"/>
                <w:szCs w:val="24"/>
              </w:rPr>
              <w:t xml:space="preserve"> </w:t>
            </w:r>
          </w:p>
          <w:p w:rsidR="00FA5463" w:rsidRPr="00FA5463" w:rsidRDefault="00FA5463" w:rsidP="00556013">
            <w:pPr>
              <w:jc w:val="both"/>
              <w:rPr>
                <w:rFonts w:cs="Times New Roman"/>
                <w:szCs w:val="24"/>
              </w:rPr>
            </w:pPr>
            <w:r w:rsidRPr="00FA5463">
              <w:rPr>
                <w:rFonts w:cs="Times New Roman"/>
                <w:szCs w:val="24"/>
              </w:rPr>
              <w:t xml:space="preserve">Ar saistošajiem noteikumiem noteiktais iedzīvotāju padomes izveidošanas process ir vērsts uz mērķi, lai ikvienas novada teritoriālās vienības iedzīvotāji būtu pārstāvēti padomes kompetencē esošajos jautājumos attiecībās ar pašvaldību. Tādēļ nav samērīgi uzstādīt prasību pēc lielāka minimāli nepieciešamā izvirzīto kandidātu skaita no katras teritoriālās vienības. Minētā norma neierobežo personu tiesības izvirzīt vairāk kandidātus. </w:t>
            </w:r>
          </w:p>
          <w:p w:rsidR="00FA5463" w:rsidRPr="00FA5463" w:rsidRDefault="00FA5463" w:rsidP="00556013">
            <w:pPr>
              <w:jc w:val="both"/>
              <w:rPr>
                <w:rFonts w:cs="Times New Roman"/>
                <w:szCs w:val="24"/>
              </w:rPr>
            </w:pPr>
            <w:r w:rsidRPr="00FA5463">
              <w:rPr>
                <w:rFonts w:cs="Times New Roman"/>
                <w:szCs w:val="24"/>
              </w:rPr>
              <w:t>Saistošie noteikumi tiek papildināti ar 43.</w:t>
            </w:r>
            <w:r w:rsidRPr="00FA5463">
              <w:rPr>
                <w:rFonts w:cs="Times New Roman"/>
                <w:szCs w:val="24"/>
                <w:vertAlign w:val="superscript"/>
              </w:rPr>
              <w:t xml:space="preserve">1 </w:t>
            </w:r>
            <w:r w:rsidRPr="00FA5463">
              <w:rPr>
                <w:rFonts w:cs="Times New Roman"/>
                <w:szCs w:val="24"/>
              </w:rPr>
              <w:t>un 43.</w:t>
            </w:r>
            <w:r w:rsidRPr="00FA5463">
              <w:rPr>
                <w:rFonts w:cs="Times New Roman"/>
                <w:szCs w:val="24"/>
                <w:vertAlign w:val="superscript"/>
              </w:rPr>
              <w:t>2 </w:t>
            </w:r>
            <w:r w:rsidRPr="00FA5463">
              <w:rPr>
                <w:rFonts w:cs="Times New Roman"/>
                <w:szCs w:val="24"/>
              </w:rPr>
              <w:t>punktu paskaidrojot, ka arī no iedzīvotāju padomes saņemtos iesniegumus pašvaldība izskata atbilstoši normatīvajam regulējumam iesniegumu izskatīšanā, bet no padomes saņemtos pašvaldības domes lēmuma projektus tās kompetencē esošos jautājumos, tāpat kā pašvaldības administrācijas sagatavotos.</w:t>
            </w:r>
          </w:p>
        </w:tc>
      </w:tr>
      <w:tr w:rsidR="00FA5463" w:rsidRPr="00FA5463" w:rsidTr="00556013">
        <w:tc>
          <w:tcPr>
            <w:tcW w:w="3321" w:type="dxa"/>
          </w:tcPr>
          <w:p w:rsidR="00FA5463" w:rsidRPr="00FA5463" w:rsidRDefault="00FA5463" w:rsidP="00556013">
            <w:pPr>
              <w:jc w:val="both"/>
              <w:rPr>
                <w:szCs w:val="24"/>
              </w:rPr>
            </w:pPr>
            <w:r w:rsidRPr="00FA5463">
              <w:rPr>
                <w:szCs w:val="24"/>
              </w:rPr>
              <w:t>Fiskālā ietekme uz pašvaldības budžetu</w:t>
            </w:r>
          </w:p>
        </w:tc>
        <w:tc>
          <w:tcPr>
            <w:tcW w:w="5380" w:type="dxa"/>
          </w:tcPr>
          <w:p w:rsidR="00FA5463" w:rsidRPr="00FA5463" w:rsidRDefault="00FA5463" w:rsidP="00556013">
            <w:pPr>
              <w:jc w:val="both"/>
              <w:rPr>
                <w:szCs w:val="24"/>
              </w:rPr>
            </w:pPr>
            <w:r w:rsidRPr="00FA5463">
              <w:rPr>
                <w:szCs w:val="24"/>
              </w:rPr>
              <w:t>Iedzīvotāju padomes vēlēšanas paredzēts nodrošināt ar pašreizējiem pašvaldības materiālajiem resursiem un pašvaldības administrācijas darba laikā, tādēļ ietekme uz budžetu netiek plānota.</w:t>
            </w:r>
          </w:p>
        </w:tc>
      </w:tr>
      <w:tr w:rsidR="00FA5463" w:rsidRPr="00FA5463" w:rsidTr="00556013">
        <w:tc>
          <w:tcPr>
            <w:tcW w:w="3321" w:type="dxa"/>
          </w:tcPr>
          <w:p w:rsidR="00FA5463" w:rsidRPr="00FA5463" w:rsidRDefault="00FA5463" w:rsidP="00556013">
            <w:pPr>
              <w:jc w:val="both"/>
              <w:rPr>
                <w:szCs w:val="24"/>
              </w:rPr>
            </w:pPr>
            <w:r w:rsidRPr="00FA5463">
              <w:rPr>
                <w:szCs w:val="24"/>
              </w:rPr>
              <w:t>Sociālā ietekme, ietekme uz vidi, iedzīvotāju veselību, uzņēmējdarbības vidi pašvaldības teritorijā un konkurenci</w:t>
            </w:r>
          </w:p>
        </w:tc>
        <w:tc>
          <w:tcPr>
            <w:tcW w:w="5380" w:type="dxa"/>
          </w:tcPr>
          <w:p w:rsidR="00FA5463" w:rsidRPr="00FA5463" w:rsidRDefault="00FA5463" w:rsidP="00556013">
            <w:pPr>
              <w:pStyle w:val="Virsraksts3"/>
              <w:shd w:val="clear" w:color="auto" w:fill="FFFFFF"/>
              <w:spacing w:before="0"/>
              <w:jc w:val="both"/>
              <w:rPr>
                <w:rFonts w:ascii="Times New Roman" w:hAnsi="Times New Roman" w:cs="Times New Roman"/>
                <w:color w:val="auto"/>
                <w:sz w:val="24"/>
                <w:szCs w:val="24"/>
                <w:shd w:val="clear" w:color="auto" w:fill="FFFFFF"/>
              </w:rPr>
            </w:pPr>
            <w:r w:rsidRPr="00FA5463">
              <w:rPr>
                <w:rFonts w:ascii="Times New Roman" w:hAnsi="Times New Roman" w:cs="Times New Roman"/>
                <w:color w:val="auto"/>
                <w:sz w:val="24"/>
                <w:szCs w:val="24"/>
                <w:shd w:val="clear" w:color="auto" w:fill="FFFFFF"/>
              </w:rPr>
              <w:t>Saistošie noteikumi veicinās sabiedrības iesaisti pašvaldības darbā, līdz ar to sagaidāma pozitīva sociālā ietekme.</w:t>
            </w:r>
          </w:p>
          <w:p w:rsidR="00FA5463" w:rsidRPr="00FA5463" w:rsidRDefault="00FA5463" w:rsidP="00556013">
            <w:pPr>
              <w:jc w:val="both"/>
              <w:rPr>
                <w:szCs w:val="24"/>
              </w:rPr>
            </w:pPr>
            <w:r w:rsidRPr="00FA5463">
              <w:rPr>
                <w:szCs w:val="24"/>
              </w:rPr>
              <w:t>Ietekme uz vidi, iedzīvotāju veselību – nav attiecināms.</w:t>
            </w:r>
          </w:p>
          <w:p w:rsidR="00FA5463" w:rsidRPr="00FA5463" w:rsidRDefault="00FA5463" w:rsidP="00556013">
            <w:pPr>
              <w:jc w:val="both"/>
              <w:rPr>
                <w:szCs w:val="24"/>
              </w:rPr>
            </w:pPr>
            <w:r w:rsidRPr="00FA5463">
              <w:rPr>
                <w:szCs w:val="24"/>
              </w:rPr>
              <w:t>Iedzīvotāju padomes vēlēšanas sagatavo un vada pašvaldība, līdz ar ko saistošo noteikumu projektam nav ietekmes uz uzņēmējdarbības vidi un konkurenci.</w:t>
            </w:r>
          </w:p>
        </w:tc>
      </w:tr>
      <w:tr w:rsidR="00FA5463" w:rsidRPr="00FA5463" w:rsidTr="00556013">
        <w:tc>
          <w:tcPr>
            <w:tcW w:w="3321" w:type="dxa"/>
          </w:tcPr>
          <w:p w:rsidR="00FA5463" w:rsidRPr="00FA5463" w:rsidRDefault="00FA5463" w:rsidP="00556013">
            <w:pPr>
              <w:jc w:val="both"/>
              <w:rPr>
                <w:szCs w:val="24"/>
              </w:rPr>
            </w:pPr>
            <w:r w:rsidRPr="00FA5463">
              <w:rPr>
                <w:szCs w:val="24"/>
              </w:rPr>
              <w:t>Ietekme uz administratīvajām procedūrām un to izmaksām</w:t>
            </w:r>
          </w:p>
        </w:tc>
        <w:tc>
          <w:tcPr>
            <w:tcW w:w="5380" w:type="dxa"/>
          </w:tcPr>
          <w:p w:rsidR="00FA5463" w:rsidRPr="00FA5463" w:rsidRDefault="00FA5463" w:rsidP="00556013">
            <w:pPr>
              <w:jc w:val="both"/>
              <w:rPr>
                <w:szCs w:val="24"/>
              </w:rPr>
            </w:pPr>
            <w:r w:rsidRPr="00FA5463">
              <w:rPr>
                <w:szCs w:val="24"/>
              </w:rPr>
              <w:t>Padomes vēlēšanas notiks saskaņā ar pašvaldības attiecīgās administratīvās teritorijas vēlētāju sarakstu un vēlēšanu zīmi, kurā pašvaldības attiecīgās teritoriālās vienības kandidāti tiks sarindoti alfabēta secībā pēc uzvārda. Piedaloties iedzīvotāju padomes vēlēšanā klātienē, personai būs jāuzrāda spēkā esošs personu apliecinošs dokuments.</w:t>
            </w:r>
          </w:p>
          <w:p w:rsidR="00FA5463" w:rsidRPr="00FA5463" w:rsidRDefault="00FA5463" w:rsidP="00556013">
            <w:pPr>
              <w:jc w:val="both"/>
              <w:rPr>
                <w:szCs w:val="24"/>
              </w:rPr>
            </w:pPr>
            <w:r w:rsidRPr="00FA5463">
              <w:rPr>
                <w:szCs w:val="24"/>
              </w:rPr>
              <w:t xml:space="preserve">Vēlēšanu norises organizatorisko kārtību noteiks un atsevišķu etapu noslēgumu vai faktu fiksēs </w:t>
            </w:r>
            <w:r w:rsidRPr="00FA5463">
              <w:rPr>
                <w:szCs w:val="24"/>
              </w:rPr>
              <w:lastRenderedPageBreak/>
              <w:t>pašvaldības iestādes “Centrālā administrācija” vadītājs - izpilddirektors.</w:t>
            </w:r>
          </w:p>
          <w:p w:rsidR="00FA5463" w:rsidRPr="00FA5463" w:rsidRDefault="00FA5463" w:rsidP="00556013">
            <w:pPr>
              <w:jc w:val="both"/>
              <w:rPr>
                <w:szCs w:val="24"/>
              </w:rPr>
            </w:pPr>
            <w:r w:rsidRPr="00FA5463">
              <w:rPr>
                <w:szCs w:val="24"/>
              </w:rPr>
              <w:t>Administratīvo procedūru izmaksas privātpersonai nav paredzētas.</w:t>
            </w:r>
          </w:p>
        </w:tc>
      </w:tr>
      <w:tr w:rsidR="00FA5463" w:rsidRPr="00FA5463" w:rsidTr="00556013">
        <w:tc>
          <w:tcPr>
            <w:tcW w:w="3321" w:type="dxa"/>
          </w:tcPr>
          <w:p w:rsidR="00FA5463" w:rsidRPr="00FA5463" w:rsidRDefault="00FA5463" w:rsidP="00556013">
            <w:pPr>
              <w:jc w:val="both"/>
              <w:rPr>
                <w:szCs w:val="24"/>
              </w:rPr>
            </w:pPr>
            <w:r w:rsidRPr="00FA5463">
              <w:rPr>
                <w:szCs w:val="24"/>
              </w:rPr>
              <w:lastRenderedPageBreak/>
              <w:t>Ietekme uz pašvaldības funkcijām un cilvēkresursiem.</w:t>
            </w:r>
          </w:p>
        </w:tc>
        <w:tc>
          <w:tcPr>
            <w:tcW w:w="5380" w:type="dxa"/>
          </w:tcPr>
          <w:p w:rsidR="00FA5463" w:rsidRPr="00FA5463" w:rsidRDefault="00FA5463" w:rsidP="00556013">
            <w:pPr>
              <w:jc w:val="both"/>
              <w:rPr>
                <w:szCs w:val="24"/>
              </w:rPr>
            </w:pPr>
            <w:r w:rsidRPr="00FA5463">
              <w:rPr>
                <w:szCs w:val="24"/>
              </w:rPr>
              <w:t>Iedzīvotāju padome ir konsultatīva institūcija no Pašvaldību likuma 4. panta pirmās daļas 2., 5., un 12. punktā noteiktajām pašvaldības funkcijām izrietošos jautājumos.</w:t>
            </w:r>
          </w:p>
          <w:p w:rsidR="00FA5463" w:rsidRPr="00FA5463" w:rsidRDefault="00FA5463" w:rsidP="00556013">
            <w:pPr>
              <w:jc w:val="both"/>
              <w:rPr>
                <w:szCs w:val="24"/>
              </w:rPr>
            </w:pPr>
            <w:r w:rsidRPr="00FA5463">
              <w:rPr>
                <w:szCs w:val="24"/>
              </w:rPr>
              <w:t xml:space="preserve">Saistošajos noteikumos paredzēto iedzīvotāju padomes vēlēšanu procesa norisi nodrošinās pašvaldības administrācija. </w:t>
            </w:r>
          </w:p>
        </w:tc>
      </w:tr>
      <w:tr w:rsidR="00FA5463" w:rsidRPr="00FA5463" w:rsidTr="00556013">
        <w:tc>
          <w:tcPr>
            <w:tcW w:w="3321" w:type="dxa"/>
          </w:tcPr>
          <w:p w:rsidR="00FA5463" w:rsidRPr="00FA5463" w:rsidRDefault="00FA5463" w:rsidP="00556013">
            <w:pPr>
              <w:jc w:val="both"/>
              <w:rPr>
                <w:szCs w:val="24"/>
              </w:rPr>
            </w:pPr>
            <w:r w:rsidRPr="00FA5463">
              <w:rPr>
                <w:szCs w:val="24"/>
              </w:rPr>
              <w:t>Informācija par izpildes nodrošinājumu.</w:t>
            </w:r>
          </w:p>
        </w:tc>
        <w:tc>
          <w:tcPr>
            <w:tcW w:w="5380" w:type="dxa"/>
          </w:tcPr>
          <w:p w:rsidR="00FA5463" w:rsidRPr="00FA5463" w:rsidRDefault="00FA5463" w:rsidP="00556013">
            <w:pPr>
              <w:jc w:val="both"/>
              <w:rPr>
                <w:szCs w:val="24"/>
              </w:rPr>
            </w:pPr>
            <w:r w:rsidRPr="00FA5463">
              <w:rPr>
                <w:szCs w:val="24"/>
              </w:rPr>
              <w:t>Saistošo noteikumu izpildi nodrošinās pašvaldības Centrālā administrācija, Alūksnes novada bibliotēka, Alūksnes novada pagastu apvienības pārvalde.</w:t>
            </w:r>
          </w:p>
        </w:tc>
      </w:tr>
      <w:tr w:rsidR="00FA5463" w:rsidRPr="00FA5463" w:rsidTr="00556013">
        <w:tc>
          <w:tcPr>
            <w:tcW w:w="3321" w:type="dxa"/>
          </w:tcPr>
          <w:p w:rsidR="00FA5463" w:rsidRPr="00FA5463" w:rsidRDefault="00FA5463" w:rsidP="00556013">
            <w:pPr>
              <w:jc w:val="both"/>
              <w:rPr>
                <w:szCs w:val="24"/>
              </w:rPr>
            </w:pPr>
            <w:r w:rsidRPr="00FA5463">
              <w:rPr>
                <w:szCs w:val="24"/>
              </w:rPr>
              <w:t>Prasību un ieguvumu samērīgums pret ieguvumiem, ko sniedz mērķa sasniegšana</w:t>
            </w:r>
          </w:p>
        </w:tc>
        <w:tc>
          <w:tcPr>
            <w:tcW w:w="5380" w:type="dxa"/>
          </w:tcPr>
          <w:p w:rsidR="00FA5463" w:rsidRPr="00FA5463" w:rsidRDefault="00FA5463" w:rsidP="00556013">
            <w:pPr>
              <w:jc w:val="both"/>
              <w:rPr>
                <w:rFonts w:cs="Times New Roman"/>
                <w:szCs w:val="24"/>
              </w:rPr>
            </w:pPr>
            <w:r w:rsidRPr="00FA5463">
              <w:rPr>
                <w:rFonts w:cs="Times New Roman"/>
                <w:szCs w:val="24"/>
              </w:rPr>
              <w:t>Saistošo noteikumu grozīšana, lai detalizētu iedzīvotāju padomes vēlēšanu procesa norisi ir atbilstošākais veids noteiktā mērķa sasniegšanai.</w:t>
            </w:r>
          </w:p>
        </w:tc>
      </w:tr>
      <w:tr w:rsidR="00FA5463" w:rsidRPr="00FA5463" w:rsidTr="00556013">
        <w:tc>
          <w:tcPr>
            <w:tcW w:w="3321" w:type="dxa"/>
          </w:tcPr>
          <w:p w:rsidR="00FA5463" w:rsidRPr="00FA5463" w:rsidRDefault="00FA5463" w:rsidP="00556013">
            <w:pPr>
              <w:jc w:val="both"/>
              <w:rPr>
                <w:szCs w:val="24"/>
              </w:rPr>
            </w:pPr>
            <w:r w:rsidRPr="00FA5463">
              <w:rPr>
                <w:szCs w:val="24"/>
              </w:rPr>
              <w:t>Izstrādes gaitā veiktās konsultācijas ar privātpersonām un institūcijām</w:t>
            </w:r>
          </w:p>
        </w:tc>
        <w:tc>
          <w:tcPr>
            <w:tcW w:w="5380" w:type="dxa"/>
          </w:tcPr>
          <w:p w:rsidR="00FA5463" w:rsidRPr="00FA5463" w:rsidRDefault="00FA5463" w:rsidP="00556013">
            <w:pPr>
              <w:jc w:val="both"/>
              <w:rPr>
                <w:rFonts w:eastAsia="Calibri"/>
                <w:szCs w:val="24"/>
              </w:rPr>
            </w:pPr>
            <w:r w:rsidRPr="00FA5463">
              <w:rPr>
                <w:rFonts w:eastAsia="Calibri"/>
                <w:color w:val="000000" w:themeColor="text1"/>
                <w:szCs w:val="24"/>
              </w:rPr>
              <w:t xml:space="preserve">Atbilstoši Pašvaldību likuma 46. panta trešajai daļai saistošo noteikumu projekts </w:t>
            </w:r>
            <w:r w:rsidRPr="00FA5463">
              <w:rPr>
                <w:szCs w:val="24"/>
              </w:rPr>
              <w:t xml:space="preserve">un tam pievienotais paskaidrojuma raksts sabiedrības viedokļa noskaidrošanai no 2025. gada </w:t>
            </w:r>
            <w:r>
              <w:rPr>
                <w:szCs w:val="24"/>
              </w:rPr>
              <w:t>5.jūnija</w:t>
            </w:r>
            <w:r w:rsidRPr="00FA5463">
              <w:rPr>
                <w:szCs w:val="24"/>
              </w:rPr>
              <w:t xml:space="preserve"> līdz </w:t>
            </w:r>
            <w:r>
              <w:rPr>
                <w:szCs w:val="24"/>
              </w:rPr>
              <w:t xml:space="preserve">18.jūnijam </w:t>
            </w:r>
            <w:r w:rsidRPr="00FA5463">
              <w:rPr>
                <w:szCs w:val="24"/>
              </w:rPr>
              <w:t xml:space="preserve">publicēts pašvaldības oficiālajā tīmekļvietnē </w:t>
            </w:r>
            <w:hyperlink r:id="rId5" w:history="1">
              <w:r w:rsidRPr="00FA5463">
                <w:rPr>
                  <w:color w:val="467886" w:themeColor="hyperlink"/>
                  <w:szCs w:val="24"/>
                  <w:u w:val="single"/>
                </w:rPr>
                <w:t>www.aluksne.lv</w:t>
              </w:r>
            </w:hyperlink>
            <w:r w:rsidRPr="00FA5463">
              <w:rPr>
                <w:szCs w:val="24"/>
              </w:rPr>
              <w:t xml:space="preserve"> </w:t>
            </w:r>
            <w:r w:rsidRPr="00FA5463">
              <w:rPr>
                <w:rFonts w:eastAsia="Calibri"/>
                <w:color w:val="000000" w:themeColor="text1"/>
                <w:szCs w:val="24"/>
              </w:rPr>
              <w:t xml:space="preserve">sadaļā </w:t>
            </w:r>
            <w:r w:rsidRPr="00FA5463">
              <w:rPr>
                <w:rFonts w:eastAsia="Calibri"/>
                <w:i/>
                <w:iCs/>
                <w:szCs w:val="24"/>
              </w:rPr>
              <w:t>Sabiedrība/Sabiedrības līdzdalība/Viedokļa izteikšana par saistošo noteikumu projektiem</w:t>
            </w:r>
            <w:r w:rsidRPr="00FA5463">
              <w:rPr>
                <w:rFonts w:eastAsia="Calibri"/>
                <w:szCs w:val="24"/>
              </w:rPr>
              <w:t xml:space="preserve">. </w:t>
            </w:r>
          </w:p>
        </w:tc>
      </w:tr>
    </w:tbl>
    <w:p w:rsidR="00FA5463" w:rsidRPr="00FA5463" w:rsidRDefault="00FA5463" w:rsidP="00FA5463">
      <w:pPr>
        <w:ind w:left="360"/>
        <w:jc w:val="both"/>
        <w:rPr>
          <w:szCs w:val="24"/>
        </w:rPr>
      </w:pPr>
    </w:p>
    <w:p w:rsidR="00E862DE" w:rsidRPr="00FA5463" w:rsidRDefault="00E862DE">
      <w:pPr>
        <w:rPr>
          <w:szCs w:val="24"/>
        </w:rPr>
      </w:pPr>
    </w:p>
    <w:sectPr w:rsidR="00E862DE" w:rsidRPr="00FA5463" w:rsidSect="00FA5463">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4243B"/>
    <w:multiLevelType w:val="multilevel"/>
    <w:tmpl w:val="474CC32A"/>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054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63"/>
    <w:rsid w:val="00147D9E"/>
    <w:rsid w:val="00932863"/>
    <w:rsid w:val="00E862DE"/>
    <w:rsid w:val="00FA54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DA33"/>
  <w15:chartTrackingRefBased/>
  <w15:docId w15:val="{715DFB99-77A1-4501-A2BA-30C5803E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5463"/>
    <w:pPr>
      <w:spacing w:line="259" w:lineRule="auto"/>
    </w:pPr>
    <w:rPr>
      <w:szCs w:val="22"/>
    </w:rPr>
  </w:style>
  <w:style w:type="paragraph" w:styleId="Virsraksts1">
    <w:name w:val="heading 1"/>
    <w:basedOn w:val="Parasts"/>
    <w:next w:val="Parasts"/>
    <w:link w:val="Virsraksts1Rakstz"/>
    <w:uiPriority w:val="9"/>
    <w:qFormat/>
    <w:rsid w:val="00FA5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A5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FA54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A54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A5463"/>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FA54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A5463"/>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FA5463"/>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A5463"/>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A546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A546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FA5463"/>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A5463"/>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A5463"/>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FA546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A546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A546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A546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A5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A546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A54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A546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A546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A5463"/>
    <w:rPr>
      <w:i/>
      <w:iCs/>
      <w:color w:val="404040" w:themeColor="text1" w:themeTint="BF"/>
    </w:rPr>
  </w:style>
  <w:style w:type="paragraph" w:styleId="Sarakstarindkopa">
    <w:name w:val="List Paragraph"/>
    <w:basedOn w:val="Parasts"/>
    <w:uiPriority w:val="34"/>
    <w:qFormat/>
    <w:rsid w:val="00FA5463"/>
    <w:pPr>
      <w:ind w:left="720"/>
      <w:contextualSpacing/>
    </w:pPr>
  </w:style>
  <w:style w:type="character" w:styleId="Intensvsizclums">
    <w:name w:val="Intense Emphasis"/>
    <w:basedOn w:val="Noklusjumarindkopasfonts"/>
    <w:uiPriority w:val="21"/>
    <w:qFormat/>
    <w:rsid w:val="00FA5463"/>
    <w:rPr>
      <w:i/>
      <w:iCs/>
      <w:color w:val="0F4761" w:themeColor="accent1" w:themeShade="BF"/>
    </w:rPr>
  </w:style>
  <w:style w:type="paragraph" w:styleId="Intensvscitts">
    <w:name w:val="Intense Quote"/>
    <w:basedOn w:val="Parasts"/>
    <w:next w:val="Parasts"/>
    <w:link w:val="IntensvscittsRakstz"/>
    <w:uiPriority w:val="30"/>
    <w:qFormat/>
    <w:rsid w:val="00FA5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A5463"/>
    <w:rPr>
      <w:i/>
      <w:iCs/>
      <w:color w:val="0F4761" w:themeColor="accent1" w:themeShade="BF"/>
    </w:rPr>
  </w:style>
  <w:style w:type="character" w:styleId="Intensvaatsauce">
    <w:name w:val="Intense Reference"/>
    <w:basedOn w:val="Noklusjumarindkopasfonts"/>
    <w:uiPriority w:val="32"/>
    <w:qFormat/>
    <w:rsid w:val="00FA5463"/>
    <w:rPr>
      <w:b/>
      <w:bCs/>
      <w:smallCaps/>
      <w:color w:val="0F4761" w:themeColor="accent1" w:themeShade="BF"/>
      <w:spacing w:val="5"/>
    </w:rPr>
  </w:style>
  <w:style w:type="table" w:styleId="Reatabula">
    <w:name w:val="Table Grid"/>
    <w:basedOn w:val="Parastatabula"/>
    <w:uiPriority w:val="39"/>
    <w:rsid w:val="00FA546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5175</Words>
  <Characters>2951</Characters>
  <Application>Microsoft Office Word</Application>
  <DocSecurity>0</DocSecurity>
  <Lines>24</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2025-06-13T06:21:00Z</dcterms:created>
  <dcterms:modified xsi:type="dcterms:W3CDTF">2025-06-13T06:23:00Z</dcterms:modified>
</cp:coreProperties>
</file>