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60D" w:rsidRDefault="006C060D" w:rsidP="006C060D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:rsidR="006C060D" w:rsidRPr="00075062" w:rsidRDefault="006C060D" w:rsidP="006C060D">
      <w:pPr>
        <w:pStyle w:val="Galvene"/>
        <w:tabs>
          <w:tab w:val="clear" w:pos="4153"/>
          <w:tab w:val="clear" w:pos="8306"/>
          <w:tab w:val="left" w:pos="0"/>
        </w:tabs>
        <w:rPr>
          <w:rFonts w:ascii="Times New Roman" w:hAnsi="Times New Roman"/>
          <w:sz w:val="24"/>
          <w:szCs w:val="24"/>
        </w:rPr>
      </w:pPr>
    </w:p>
    <w:p w:rsidR="006C060D" w:rsidRPr="00212577" w:rsidRDefault="006C060D" w:rsidP="006C060D">
      <w:pPr>
        <w:jc w:val="center"/>
        <w:rPr>
          <w:rFonts w:ascii="Times New Roman" w:hAnsi="Times New Roman"/>
          <w:b/>
          <w:sz w:val="24"/>
          <w:lang w:val="lv-LV"/>
        </w:rPr>
      </w:pPr>
      <w:bookmarkStart w:id="0" w:name="_Hlk175751303"/>
      <w:r w:rsidRPr="00212577">
        <w:rPr>
          <w:rFonts w:ascii="Times New Roman" w:hAnsi="Times New Roman"/>
          <w:b/>
          <w:sz w:val="24"/>
          <w:lang w:val="lv-LV"/>
        </w:rPr>
        <w:t xml:space="preserve">Par pašvaldības līdzfinansējuma nodrošināšanu plūdu radīto zaudējumu novēršanai </w:t>
      </w:r>
    </w:p>
    <w:bookmarkEnd w:id="0"/>
    <w:p w:rsidR="006C060D" w:rsidRPr="00212577" w:rsidRDefault="006C060D" w:rsidP="006C060D">
      <w:pPr>
        <w:ind w:left="360"/>
        <w:jc w:val="both"/>
        <w:rPr>
          <w:rFonts w:ascii="Times New Roman" w:hAnsi="Times New Roman"/>
          <w:sz w:val="24"/>
          <w:lang w:val="lv-LV"/>
        </w:rPr>
      </w:pPr>
    </w:p>
    <w:p w:rsidR="006C060D" w:rsidRPr="00212577" w:rsidRDefault="006C060D" w:rsidP="006C060D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>Pamatojoties uz Pašvaldību likuma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panta pirmās daļas 2. un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punktu, 10.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panta pirmās daļas 21.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punktu, likuma “Par pašvaldību budžetiem” 30.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pantu, Ministru kabineta 2018.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gada 17.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jūlija noteikumu Nr. 421 “Kārtība, kādā veic gadskārtējā valsts budžeta likumā noteiktās apropriācijas izmaiņas” 47.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punktu, </w:t>
      </w:r>
    </w:p>
    <w:p w:rsidR="006C060D" w:rsidRPr="00212577" w:rsidRDefault="006C060D" w:rsidP="006C060D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C060D" w:rsidRPr="003A30C7" w:rsidRDefault="006C060D" w:rsidP="006C060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 xml:space="preserve">Nodrošināt pašvaldības līdzfinansējumu </w:t>
      </w:r>
      <w:bookmarkStart w:id="1" w:name="_Hlk207811767"/>
      <w:r>
        <w:rPr>
          <w:rFonts w:ascii="Times New Roman" w:hAnsi="Times New Roman"/>
          <w:sz w:val="24"/>
          <w:szCs w:val="24"/>
          <w:lang w:val="lv-LV"/>
        </w:rPr>
        <w:t>21 227,09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 EUR (d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ivdesmit viens tūkstotis divi simti divdesmit septiņu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>euro</w:t>
      </w:r>
      <w:proofErr w:type="spellEnd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9</w:t>
      </w:r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cent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) </w:t>
      </w:r>
      <w:bookmarkEnd w:id="1"/>
      <w:r w:rsidRPr="00212577">
        <w:rPr>
          <w:rFonts w:ascii="Times New Roman" w:hAnsi="Times New Roman"/>
          <w:color w:val="000000"/>
          <w:sz w:val="24"/>
          <w:szCs w:val="24"/>
          <w:lang w:val="lv-LV"/>
        </w:rPr>
        <w:t xml:space="preserve">apmērā </w:t>
      </w:r>
      <w:r>
        <w:rPr>
          <w:rFonts w:ascii="Times New Roman" w:hAnsi="Times New Roman"/>
          <w:sz w:val="24"/>
          <w:szCs w:val="24"/>
          <w:lang w:val="lv-LV"/>
        </w:rPr>
        <w:t>11.-14</w:t>
      </w:r>
      <w:r w:rsidRPr="003A30C7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3A30C7">
        <w:rPr>
          <w:rFonts w:ascii="Times New Roman" w:hAnsi="Times New Roman"/>
          <w:sz w:val="24"/>
          <w:szCs w:val="24"/>
          <w:lang w:val="lv-LV"/>
        </w:rPr>
        <w:t>jū</w:t>
      </w:r>
      <w:r>
        <w:rPr>
          <w:rFonts w:ascii="Times New Roman" w:hAnsi="Times New Roman"/>
          <w:sz w:val="24"/>
          <w:szCs w:val="24"/>
          <w:lang w:val="lv-LV"/>
        </w:rPr>
        <w:t>l</w:t>
      </w:r>
      <w:r w:rsidRPr="003A30C7">
        <w:rPr>
          <w:rFonts w:ascii="Times New Roman" w:hAnsi="Times New Roman"/>
          <w:sz w:val="24"/>
          <w:szCs w:val="24"/>
          <w:lang w:val="lv-LV"/>
        </w:rPr>
        <w:t>ij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A30C7">
        <w:rPr>
          <w:rFonts w:ascii="Times New Roman" w:hAnsi="Times New Roman"/>
          <w:sz w:val="24"/>
          <w:szCs w:val="24"/>
          <w:lang w:val="lv-LV"/>
        </w:rPr>
        <w:t xml:space="preserve"> lietusgāžu plūdu izraisīto avārijas seku novēršanai</w:t>
      </w:r>
      <w:r w:rsidRPr="003A30C7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uz </w:t>
      </w:r>
      <w:r w:rsidRPr="003A30C7">
        <w:rPr>
          <w:rFonts w:ascii="Times New Roman" w:hAnsi="Times New Roman"/>
          <w:color w:val="000000"/>
          <w:sz w:val="24"/>
          <w:szCs w:val="24"/>
          <w:lang w:val="lv-LV"/>
        </w:rPr>
        <w:t>Alūksnes novada</w:t>
      </w:r>
      <w:r w:rsidRPr="003A30C7">
        <w:rPr>
          <w:rFonts w:ascii="Times New Roman" w:hAnsi="Times New Roman"/>
          <w:sz w:val="24"/>
          <w:szCs w:val="24"/>
          <w:lang w:val="lv-LV"/>
        </w:rPr>
        <w:t xml:space="preserve"> pašvaldības autoceļiem un ielām, kas sastāda 30% no radīto zaudējumu apmēra.</w:t>
      </w:r>
    </w:p>
    <w:p w:rsidR="006C060D" w:rsidRPr="003A30C7" w:rsidRDefault="006C060D" w:rsidP="006C060D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 xml:space="preserve">Līdzfinansējumu pašvaldības </w:t>
      </w:r>
      <w:r>
        <w:rPr>
          <w:rFonts w:ascii="Times New Roman" w:hAnsi="Times New Roman"/>
          <w:sz w:val="24"/>
          <w:szCs w:val="24"/>
          <w:lang w:val="lv-LV"/>
        </w:rPr>
        <w:t xml:space="preserve">autoceļu un ielu 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atjaunošanai </w:t>
      </w:r>
      <w:r>
        <w:rPr>
          <w:rFonts w:ascii="Times New Roman" w:hAnsi="Times New Roman"/>
          <w:sz w:val="24"/>
          <w:szCs w:val="24"/>
          <w:lang w:val="lv-LV"/>
        </w:rPr>
        <w:t>21 227,09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 EUR (d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ivdesmit viens tūkstotis divi simti divdesmit septiņu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>euro</w:t>
      </w:r>
      <w:proofErr w:type="spellEnd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9</w:t>
      </w:r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cent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) 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apmērā </w:t>
      </w:r>
      <w:r>
        <w:rPr>
          <w:rFonts w:ascii="Times New Roman" w:hAnsi="Times New Roman"/>
          <w:sz w:val="24"/>
          <w:szCs w:val="24"/>
          <w:lang w:val="lv-LV"/>
        </w:rPr>
        <w:t>nodrošināt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 no Alūksnes novada pašvaldības</w:t>
      </w:r>
      <w:r>
        <w:rPr>
          <w:rFonts w:ascii="Times New Roman" w:hAnsi="Times New Roman"/>
          <w:sz w:val="24"/>
          <w:szCs w:val="24"/>
          <w:lang w:val="lv-LV"/>
        </w:rPr>
        <w:t xml:space="preserve"> pamatbudžeta</w:t>
      </w:r>
      <w:r w:rsidRPr="00212577">
        <w:rPr>
          <w:rFonts w:ascii="Times New Roman" w:hAnsi="Times New Roman"/>
          <w:sz w:val="24"/>
          <w:szCs w:val="24"/>
          <w:lang w:val="lv-LV"/>
        </w:rPr>
        <w:t>.</w:t>
      </w:r>
    </w:p>
    <w:p w:rsidR="006C060D" w:rsidRPr="0030651A" w:rsidRDefault="006C060D" w:rsidP="006C060D">
      <w:pPr>
        <w:rPr>
          <w:rFonts w:ascii="Times New Roman" w:hAnsi="Times New Roman"/>
          <w:sz w:val="24"/>
          <w:szCs w:val="24"/>
          <w:lang w:val="lv-LV"/>
        </w:rPr>
      </w:pPr>
    </w:p>
    <w:p w:rsidR="006C060D" w:rsidRDefault="006C060D" w:rsidP="006C060D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Pielikums</w:t>
      </w:r>
    </w:p>
    <w:p w:rsidR="006C060D" w:rsidRDefault="006C060D" w:rsidP="006C060D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Alūksnes novada pašvaldības domes</w:t>
      </w:r>
    </w:p>
    <w:p w:rsidR="006C060D" w:rsidRDefault="006C060D" w:rsidP="006C060D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25.09.2025. lēmumam Nr. …(protokols Nr. ..,..p.)</w:t>
      </w:r>
    </w:p>
    <w:p w:rsidR="006C060D" w:rsidRDefault="006C060D" w:rsidP="006C060D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p w:rsidR="006C060D" w:rsidRPr="001569F4" w:rsidRDefault="006C060D" w:rsidP="006C060D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569F4">
        <w:rPr>
          <w:rFonts w:ascii="Times New Roman" w:hAnsi="Times New Roman"/>
          <w:b/>
          <w:bCs/>
          <w:sz w:val="24"/>
          <w:szCs w:val="24"/>
          <w:lang w:val="lv-LV"/>
        </w:rPr>
        <w:t>ALŪKSNES NOVADA PAŠVALDĪBAS LĪDZFINANSĒJUMA SADALĪJUMS</w:t>
      </w:r>
    </w:p>
    <w:p w:rsidR="006C060D" w:rsidRDefault="006C060D" w:rsidP="006C060D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569F4">
        <w:rPr>
          <w:rFonts w:ascii="Times New Roman" w:hAnsi="Times New Roman"/>
          <w:b/>
          <w:bCs/>
          <w:sz w:val="24"/>
          <w:szCs w:val="24"/>
          <w:lang w:val="lv-LV"/>
        </w:rPr>
        <w:t>PLŪDU RADĪTO ZAUDĒJUMU NOVĒRŠANAI</w:t>
      </w:r>
    </w:p>
    <w:p w:rsidR="006C060D" w:rsidRDefault="006C060D" w:rsidP="006C060D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9061" w:type="dxa"/>
        <w:tblLook w:val="04A0" w:firstRow="1" w:lastRow="0" w:firstColumn="1" w:lastColumn="0" w:noHBand="0" w:noVBand="1"/>
      </w:tblPr>
      <w:tblGrid>
        <w:gridCol w:w="3520"/>
        <w:gridCol w:w="1578"/>
        <w:gridCol w:w="1799"/>
        <w:gridCol w:w="2164"/>
      </w:tblGrid>
      <w:tr w:rsidR="006C060D" w:rsidRPr="006932D4" w:rsidTr="00E67DDC">
        <w:trPr>
          <w:trHeight w:val="1575"/>
        </w:trPr>
        <w:tc>
          <w:tcPr>
            <w:tcW w:w="3520" w:type="dxa"/>
            <w:hideMark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Objekts/adrese</w:t>
            </w:r>
          </w:p>
        </w:tc>
        <w:tc>
          <w:tcPr>
            <w:tcW w:w="1578" w:type="dxa"/>
            <w:hideMark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Izmaksu tāme, EUR</w:t>
            </w:r>
          </w:p>
        </w:tc>
        <w:tc>
          <w:tcPr>
            <w:tcW w:w="1799" w:type="dxa"/>
            <w:hideMark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Mērķdotācijas sadalījums 30%, EUR</w:t>
            </w:r>
          </w:p>
        </w:tc>
        <w:tc>
          <w:tcPr>
            <w:tcW w:w="2164" w:type="dxa"/>
            <w:hideMark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Mērķdotācijas sadalījums 30%, EUR (apaļots Alūksnes novada pašvaldības pamatbudžeta plānam</w:t>
            </w:r>
          </w:p>
        </w:tc>
      </w:tr>
      <w:tr w:rsidR="006C060D" w:rsidRPr="006932D4" w:rsidTr="00E67DDC">
        <w:trPr>
          <w:trHeight w:val="300"/>
        </w:trPr>
        <w:tc>
          <w:tcPr>
            <w:tcW w:w="3520" w:type="dxa"/>
            <w:noWrap/>
          </w:tcPr>
          <w:p w:rsidR="006C060D" w:rsidRPr="006932D4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32D4">
              <w:rPr>
                <w:rFonts w:ascii="Times New Roman" w:hAnsi="Times New Roman"/>
                <w:b/>
                <w:bCs/>
                <w:sz w:val="24"/>
                <w:szCs w:val="24"/>
              </w:rPr>
              <w:t>Alsviķu</w:t>
            </w:r>
            <w:proofErr w:type="spellEnd"/>
            <w:r w:rsidRPr="00693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32D4">
              <w:rPr>
                <w:rFonts w:ascii="Times New Roman" w:hAnsi="Times New Roman"/>
                <w:b/>
                <w:bCs/>
                <w:sz w:val="24"/>
                <w:szCs w:val="24"/>
              </w:rPr>
              <w:t>pagasts</w:t>
            </w:r>
            <w:proofErr w:type="spellEnd"/>
          </w:p>
        </w:tc>
        <w:tc>
          <w:tcPr>
            <w:tcW w:w="1578" w:type="dxa"/>
            <w:noWrap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12867,75</w:t>
            </w:r>
          </w:p>
        </w:tc>
        <w:tc>
          <w:tcPr>
            <w:tcW w:w="1799" w:type="dxa"/>
            <w:noWrap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3860,3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2164" w:type="dxa"/>
            <w:noWrap/>
          </w:tcPr>
          <w:p w:rsidR="006C060D" w:rsidRPr="006932D4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932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9007,4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0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“Strautiņi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Jaunpuntuži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Luki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”,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1284,35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385,31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899,04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Apes ceļš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Celenski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Buliņš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Nēķene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2122,36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636,71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1485,65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Līvkalni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Nēķene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871,99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261,60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610,39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Cerkazu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ceļš - Grantiņi-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Aupati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1314,42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394,33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920,09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Apes ceļš – Karva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Lintene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Apes ceļš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2411,72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723,52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1688,20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Strautiņi – 58.ceļš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Zaļmeži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Stāmeri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Dzintari – Brīdaki – Liepas 2 – Apes ceļš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1574,38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472,32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1102,06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Zeltiņu ceļš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Lielmucenieki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1327,31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398,19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929,12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Alsviķu centra iekšējie ceļi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Alsviķu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1248,05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374,42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873,63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Annas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30131,79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9039,54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21092,25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V393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4019,97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1205,99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2813,98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Anna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Varžupuriņš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427,91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998,44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Kalnāji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Kantorkrogs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891,47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267,44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624,03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Grēveles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Lejas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20941,31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6282,39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14658,92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Atte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Lejas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Jaunsmiķi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Grēveles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427,91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998,44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Anna – Nākotnes iela – Teikas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Ilzenes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6454,22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1936,28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4517,94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V374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Ilzenes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427,91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998,44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Liepiņi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Jaunzemi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Ilzenes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Muiža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Ezerslokas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Ilzenes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2888,35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866,51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2021,84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Paiķeni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Čonkas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Ilzenes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427,91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998,44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Jaunannas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1675,25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502,59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1172,66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V398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Jaunannas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429,55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128,87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300,68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V395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Jaunannas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429,55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128,87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300,68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Jaunanna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Guldupji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Jaunannas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816,15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244,85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571,30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Kalncempju pagasts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11767,37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3530,21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8237,16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Cempji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Malaci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Kalncempju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427,91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998,44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Ate-Augstiekalni-Niedras-4.ceļš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Kalncempju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5705,40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1711,62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3993,78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Lūkuži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Gotlupi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Nāzupi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Kalncempju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3209,28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962,78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2246,50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Žagatas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Cempji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Kalncempju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Vēverkalns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Okani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Kalncempju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Zeltiņu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6434,06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1930,22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4503,84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Rožukalns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Ziemeļi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Zeltiņu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1782,94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534,88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1248,06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Zeltiņi – Zemītes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Zeltiņu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4651,12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1395,34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3255,78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Veclaicenes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15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Ieviņas – Mišas – Dzintari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, Veclaicenes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Ziemera</w:t>
            </w:r>
            <w:proofErr w:type="spellEnd"/>
            <w:r w:rsidRPr="00010E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pagasts</w:t>
            </w:r>
          </w:p>
        </w:tc>
        <w:tc>
          <w:tcPr>
            <w:tcW w:w="1578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Autoceļš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“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Māriņkalns – Karva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>Ziemera</w:t>
            </w:r>
            <w:proofErr w:type="spellEnd"/>
            <w:r w:rsidRPr="00010E4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pagasts, Alūksnes novads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499,22</w:t>
            </w:r>
          </w:p>
        </w:tc>
      </w:tr>
      <w:tr w:rsidR="006C060D" w:rsidRPr="00010E4D" w:rsidTr="00E67DDC">
        <w:trPr>
          <w:trHeight w:val="300"/>
        </w:trPr>
        <w:tc>
          <w:tcPr>
            <w:tcW w:w="3520" w:type="dxa"/>
            <w:noWrap/>
            <w:hideMark/>
          </w:tcPr>
          <w:p w:rsidR="006C060D" w:rsidRPr="00010E4D" w:rsidRDefault="006C060D" w:rsidP="00E67DD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578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70756,78</w:t>
            </w:r>
          </w:p>
        </w:tc>
        <w:tc>
          <w:tcPr>
            <w:tcW w:w="1799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21227,09</w:t>
            </w:r>
          </w:p>
        </w:tc>
        <w:tc>
          <w:tcPr>
            <w:tcW w:w="2164" w:type="dxa"/>
            <w:noWrap/>
            <w:hideMark/>
          </w:tcPr>
          <w:p w:rsidR="006C060D" w:rsidRPr="00010E4D" w:rsidRDefault="006C060D" w:rsidP="00E67D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010E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49529,69</w:t>
            </w:r>
          </w:p>
        </w:tc>
      </w:tr>
    </w:tbl>
    <w:p w:rsidR="006C060D" w:rsidRPr="00010E4D" w:rsidRDefault="006C060D" w:rsidP="006C060D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E862DE" w:rsidRDefault="00E862DE"/>
    <w:sectPr w:rsidR="00E862DE" w:rsidSect="006C06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CDD"/>
    <w:multiLevelType w:val="hybridMultilevel"/>
    <w:tmpl w:val="7F0088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7DBB"/>
    <w:multiLevelType w:val="hybridMultilevel"/>
    <w:tmpl w:val="2ADC7FDE"/>
    <w:lvl w:ilvl="0" w:tplc="F42E26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 w16cid:durableId="2071149369">
    <w:abstractNumId w:val="1"/>
  </w:num>
  <w:num w:numId="2" w16cid:durableId="546454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0D"/>
    <w:rsid w:val="00147D9E"/>
    <w:rsid w:val="006C060D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EB6F-CD3F-4734-BED1-BF649C9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060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C0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C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C06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C06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C06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C060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C060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C060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C060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C0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C0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C06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C06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C06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C06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C06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C06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C060D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C0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C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C06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C06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C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C060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C060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C060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C0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C060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C060D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rsid w:val="006C060D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C060D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Reatabula">
    <w:name w:val="Table Grid"/>
    <w:basedOn w:val="Parastatabula"/>
    <w:rsid w:val="006C060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2880</Words>
  <Characters>1642</Characters>
  <Application>Microsoft Office Word</Application>
  <DocSecurity>0</DocSecurity>
  <Lines>13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2025-09-16T11:33:00Z</dcterms:created>
  <dcterms:modified xsi:type="dcterms:W3CDTF">2025-09-16T11:33:00Z</dcterms:modified>
</cp:coreProperties>
</file>