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2518B" w14:textId="77777777" w:rsidR="00C63634" w:rsidRDefault="00C63634" w:rsidP="00C63634">
      <w:pPr>
        <w:spacing w:after="0" w:line="240" w:lineRule="auto"/>
        <w:jc w:val="right"/>
        <w:rPr>
          <w:bCs/>
          <w:i/>
          <w:iCs/>
        </w:rPr>
      </w:pPr>
      <w:r w:rsidRPr="009E7F2A">
        <w:rPr>
          <w:bCs/>
          <w:i/>
          <w:iCs/>
        </w:rPr>
        <w:t>Lēmuma projekts</w:t>
      </w:r>
    </w:p>
    <w:p w14:paraId="38EF0B14" w14:textId="77777777" w:rsidR="00C63634" w:rsidRPr="009E7F2A" w:rsidRDefault="00C63634" w:rsidP="00C63634">
      <w:pPr>
        <w:spacing w:after="0" w:line="240" w:lineRule="auto"/>
        <w:jc w:val="right"/>
        <w:rPr>
          <w:bCs/>
          <w:i/>
          <w:iCs/>
        </w:rPr>
      </w:pPr>
    </w:p>
    <w:p w14:paraId="4588BFFA" w14:textId="77777777" w:rsidR="00C63634" w:rsidRPr="00000692" w:rsidRDefault="00C63634" w:rsidP="00C63634">
      <w:pPr>
        <w:spacing w:after="0" w:line="240" w:lineRule="auto"/>
        <w:contextualSpacing/>
        <w:jc w:val="center"/>
        <w:rPr>
          <w:b/>
        </w:rPr>
      </w:pPr>
      <w:r w:rsidRPr="00000692">
        <w:rPr>
          <w:b/>
        </w:rPr>
        <w:t xml:space="preserve">Par ēdināšanas pakalpojuma maksu </w:t>
      </w:r>
      <w:r>
        <w:rPr>
          <w:b/>
        </w:rPr>
        <w:t>Alūksnes</w:t>
      </w:r>
      <w:r w:rsidRPr="00000692">
        <w:rPr>
          <w:b/>
        </w:rPr>
        <w:t xml:space="preserve"> pirmsskolas izglītības iestādē “</w:t>
      </w:r>
      <w:r>
        <w:rPr>
          <w:b/>
        </w:rPr>
        <w:t>Sprīdītis</w:t>
      </w:r>
      <w:r w:rsidRPr="00000692">
        <w:rPr>
          <w:b/>
        </w:rPr>
        <w:t>”</w:t>
      </w:r>
    </w:p>
    <w:p w14:paraId="2A39BF20" w14:textId="77777777" w:rsidR="00C63634" w:rsidRDefault="00C63634" w:rsidP="00C63634">
      <w:pPr>
        <w:spacing w:after="0" w:line="240" w:lineRule="auto"/>
      </w:pPr>
    </w:p>
    <w:p w14:paraId="0465F849" w14:textId="77777777" w:rsidR="00C63634" w:rsidRDefault="00C63634" w:rsidP="00C63634">
      <w:pPr>
        <w:ind w:firstLine="720"/>
        <w:jc w:val="both"/>
      </w:pPr>
      <w:r>
        <w:t xml:space="preserve">Ņemot vērā Maksas pakalpojumu izcenojumu noteikšanas metodiku un izcenojumu apstiprināšanas kārtību, kas apstiprināta ar Alūksnes novada pašvaldības izpilddirektora </w:t>
      </w:r>
      <w:r>
        <w:rPr>
          <w:rFonts w:cs="Times New Roman"/>
          <w:szCs w:val="24"/>
        </w:rPr>
        <w:t>31.05.2024. rīkojumu Nr. ANP/1-6/24/148</w:t>
      </w:r>
      <w:r>
        <w:t>,</w:t>
      </w:r>
    </w:p>
    <w:p w14:paraId="56F2AAD6" w14:textId="77777777" w:rsidR="00C63634" w:rsidRDefault="00C63634" w:rsidP="00C63634">
      <w:pPr>
        <w:ind w:firstLine="426"/>
        <w:jc w:val="both"/>
      </w:pPr>
      <w:r>
        <w:t xml:space="preserve">pamatojoties uz </w:t>
      </w:r>
      <w:r w:rsidRPr="00DD20C8">
        <w:t xml:space="preserve">Pašvaldību likuma </w:t>
      </w:r>
      <w:r>
        <w:t xml:space="preserve">10. panta pirmās daļas ievaddaļu, Izglītības likuma 17. panta trešās daļas 13. punktu, Pievienotās vērtības nodokļa likuma 52. panta pirmās daļas 12. punktu, Ministru kabineta 2013. gada 3. janvāra noteikumu Nr. 17 “Pievienotās vērtības nodokļa likuma normu piemērošanas kārtība un atsevišķas prasības pievienotās vērtības nodokļa maksāšanai un administrēšanai” 30. punktu, </w:t>
      </w:r>
    </w:p>
    <w:p w14:paraId="3690B4ED" w14:textId="77777777" w:rsidR="00C63634" w:rsidRDefault="00C63634" w:rsidP="00C63634">
      <w:pPr>
        <w:pStyle w:val="Sarakstarindkopa"/>
        <w:numPr>
          <w:ilvl w:val="0"/>
          <w:numId w:val="1"/>
        </w:numPr>
        <w:ind w:left="426" w:hanging="426"/>
        <w:jc w:val="both"/>
      </w:pPr>
      <w:r>
        <w:t>Apstiprināt ēdināšanas pakalpojuma maksu</w:t>
      </w:r>
      <w:r w:rsidRPr="001C2EB5">
        <w:t xml:space="preserve"> </w:t>
      </w:r>
      <w:r>
        <w:t>Alūksnes pirmsskolas izglītības iestādē “Sprīdītis” (turpmāk – Iestāde):</w:t>
      </w:r>
    </w:p>
    <w:tbl>
      <w:tblPr>
        <w:tblStyle w:val="Reatabula"/>
        <w:tblW w:w="8931" w:type="dxa"/>
        <w:tblInd w:w="-5" w:type="dxa"/>
        <w:tblLook w:val="04A0" w:firstRow="1" w:lastRow="0" w:firstColumn="1" w:lastColumn="0" w:noHBand="0" w:noVBand="1"/>
      </w:tblPr>
      <w:tblGrid>
        <w:gridCol w:w="1342"/>
        <w:gridCol w:w="2277"/>
        <w:gridCol w:w="1670"/>
        <w:gridCol w:w="1298"/>
        <w:gridCol w:w="1061"/>
        <w:gridCol w:w="1283"/>
      </w:tblGrid>
      <w:tr w:rsidR="00C63634" w14:paraId="2831B0C7" w14:textId="77777777" w:rsidTr="00052256">
        <w:tc>
          <w:tcPr>
            <w:tcW w:w="1374" w:type="dxa"/>
            <w:vMerge w:val="restart"/>
          </w:tcPr>
          <w:p w14:paraId="6879B220" w14:textId="77777777" w:rsidR="00C63634" w:rsidRPr="00DF5A74" w:rsidRDefault="00C63634" w:rsidP="00052256">
            <w:pPr>
              <w:pStyle w:val="Sarakstarindkopa"/>
              <w:ind w:left="0"/>
              <w:jc w:val="center"/>
              <w:rPr>
                <w:b/>
              </w:rPr>
            </w:pPr>
            <w:proofErr w:type="spellStart"/>
            <w:r w:rsidRPr="00DF5A74">
              <w:rPr>
                <w:b/>
              </w:rPr>
              <w:t>Nr.p.k</w:t>
            </w:r>
            <w:proofErr w:type="spellEnd"/>
            <w:r w:rsidRPr="00DF5A74">
              <w:rPr>
                <w:b/>
              </w:rPr>
              <w:t>.</w:t>
            </w:r>
          </w:p>
        </w:tc>
        <w:tc>
          <w:tcPr>
            <w:tcW w:w="2355" w:type="dxa"/>
            <w:vMerge w:val="restart"/>
          </w:tcPr>
          <w:p w14:paraId="1FB36126" w14:textId="77777777" w:rsidR="00C63634" w:rsidRPr="00DF5A74" w:rsidRDefault="00C63634" w:rsidP="00052256">
            <w:pPr>
              <w:pStyle w:val="Sarakstarindkopa"/>
              <w:ind w:left="0"/>
              <w:jc w:val="center"/>
              <w:rPr>
                <w:b/>
              </w:rPr>
            </w:pPr>
            <w:r w:rsidRPr="00DF5A74">
              <w:rPr>
                <w:b/>
              </w:rPr>
              <w:t>Ēdienreize</w:t>
            </w:r>
          </w:p>
        </w:tc>
        <w:tc>
          <w:tcPr>
            <w:tcW w:w="4054" w:type="dxa"/>
            <w:gridSpan w:val="3"/>
          </w:tcPr>
          <w:p w14:paraId="3FA2BB62" w14:textId="77777777" w:rsidR="00C63634" w:rsidRPr="00DF5A74" w:rsidRDefault="00C63634" w:rsidP="00052256">
            <w:pPr>
              <w:pStyle w:val="Sarakstarindkopa"/>
              <w:ind w:left="0"/>
              <w:jc w:val="center"/>
              <w:rPr>
                <w:b/>
              </w:rPr>
            </w:pPr>
            <w:r w:rsidRPr="00DF5A74">
              <w:rPr>
                <w:b/>
              </w:rPr>
              <w:t>Ēdināšanas pakalpojuma maksa</w:t>
            </w:r>
          </w:p>
        </w:tc>
        <w:tc>
          <w:tcPr>
            <w:tcW w:w="1148" w:type="dxa"/>
            <w:vMerge w:val="restart"/>
          </w:tcPr>
          <w:p w14:paraId="60FB6A81" w14:textId="77777777" w:rsidR="00C63634" w:rsidRPr="00DF5A74" w:rsidRDefault="00C63634" w:rsidP="00052256">
            <w:pPr>
              <w:pStyle w:val="Sarakstarindkopa"/>
              <w:ind w:left="0"/>
              <w:jc w:val="center"/>
              <w:rPr>
                <w:b/>
              </w:rPr>
            </w:pPr>
            <w:r w:rsidRPr="00DF5A74">
              <w:rPr>
                <w:b/>
              </w:rPr>
              <w:t>PVN</w:t>
            </w:r>
          </w:p>
        </w:tc>
      </w:tr>
      <w:tr w:rsidR="00C63634" w14:paraId="749AE517" w14:textId="77777777" w:rsidTr="00052256">
        <w:tc>
          <w:tcPr>
            <w:tcW w:w="1374" w:type="dxa"/>
            <w:vMerge/>
          </w:tcPr>
          <w:p w14:paraId="15579AF0" w14:textId="77777777" w:rsidR="00C63634" w:rsidRPr="00DF5A74" w:rsidRDefault="00C63634" w:rsidP="00052256">
            <w:pPr>
              <w:pStyle w:val="Sarakstarindkopa"/>
              <w:ind w:left="0"/>
              <w:jc w:val="center"/>
              <w:rPr>
                <w:b/>
              </w:rPr>
            </w:pPr>
          </w:p>
        </w:tc>
        <w:tc>
          <w:tcPr>
            <w:tcW w:w="2355" w:type="dxa"/>
            <w:vMerge/>
          </w:tcPr>
          <w:p w14:paraId="5CDF9817" w14:textId="77777777" w:rsidR="00C63634" w:rsidRPr="00DF5A74" w:rsidRDefault="00C63634" w:rsidP="00052256">
            <w:pPr>
              <w:pStyle w:val="Sarakstarindkopa"/>
              <w:ind w:left="0"/>
              <w:jc w:val="center"/>
              <w:rPr>
                <w:b/>
              </w:rPr>
            </w:pPr>
          </w:p>
        </w:tc>
        <w:tc>
          <w:tcPr>
            <w:tcW w:w="1670" w:type="dxa"/>
          </w:tcPr>
          <w:p w14:paraId="08DA9F52" w14:textId="77777777" w:rsidR="00C63634" w:rsidRPr="00DF5A74" w:rsidRDefault="00C63634" w:rsidP="00052256">
            <w:pPr>
              <w:pStyle w:val="Sarakstarindkopa"/>
              <w:ind w:left="0"/>
              <w:jc w:val="center"/>
              <w:rPr>
                <w:b/>
              </w:rPr>
            </w:pPr>
            <w:r w:rsidRPr="00DF5A74">
              <w:rPr>
                <w:b/>
              </w:rPr>
              <w:t>Pastāvīgā daļa</w:t>
            </w:r>
            <w:r>
              <w:rPr>
                <w:b/>
              </w:rPr>
              <w:t xml:space="preserve"> (ēdiena sagatavošanas izmaksas)</w:t>
            </w:r>
          </w:p>
        </w:tc>
        <w:tc>
          <w:tcPr>
            <w:tcW w:w="1300" w:type="dxa"/>
          </w:tcPr>
          <w:p w14:paraId="461ED505" w14:textId="77777777" w:rsidR="00C63634" w:rsidRPr="00DF5A74" w:rsidRDefault="00C63634" w:rsidP="00052256">
            <w:pPr>
              <w:pStyle w:val="Sarakstarindkopa"/>
              <w:ind w:left="0"/>
              <w:jc w:val="center"/>
              <w:rPr>
                <w:b/>
              </w:rPr>
            </w:pPr>
            <w:r w:rsidRPr="00DF5A74">
              <w:rPr>
                <w:b/>
              </w:rPr>
              <w:t>Mainīgā daļ</w:t>
            </w:r>
            <w:r>
              <w:rPr>
                <w:b/>
              </w:rPr>
              <w:t>a (produktu izmaksas)</w:t>
            </w:r>
          </w:p>
        </w:tc>
        <w:tc>
          <w:tcPr>
            <w:tcW w:w="1084" w:type="dxa"/>
          </w:tcPr>
          <w:p w14:paraId="27DEFE8E" w14:textId="77777777" w:rsidR="00C63634" w:rsidRPr="00DF5A74" w:rsidRDefault="00C63634" w:rsidP="00052256">
            <w:pPr>
              <w:pStyle w:val="Sarakstarindkopa"/>
              <w:ind w:left="0"/>
              <w:jc w:val="center"/>
              <w:rPr>
                <w:b/>
              </w:rPr>
            </w:pPr>
            <w:r w:rsidRPr="00DF5A74">
              <w:rPr>
                <w:b/>
              </w:rPr>
              <w:t>Kopā</w:t>
            </w:r>
          </w:p>
        </w:tc>
        <w:tc>
          <w:tcPr>
            <w:tcW w:w="1148" w:type="dxa"/>
            <w:vMerge/>
          </w:tcPr>
          <w:p w14:paraId="30D849FB" w14:textId="77777777" w:rsidR="00C63634" w:rsidRDefault="00C63634" w:rsidP="00052256">
            <w:pPr>
              <w:pStyle w:val="Sarakstarindkopa"/>
              <w:ind w:left="0"/>
              <w:jc w:val="center"/>
            </w:pPr>
          </w:p>
        </w:tc>
      </w:tr>
      <w:tr w:rsidR="00C63634" w14:paraId="25E4490B" w14:textId="77777777" w:rsidTr="00052256">
        <w:tc>
          <w:tcPr>
            <w:tcW w:w="8931" w:type="dxa"/>
            <w:gridSpan w:val="6"/>
          </w:tcPr>
          <w:p w14:paraId="7553AB6C" w14:textId="77777777" w:rsidR="00C63634" w:rsidRDefault="00C63634" w:rsidP="00C63634">
            <w:pPr>
              <w:pStyle w:val="Sarakstarindkopa"/>
              <w:numPr>
                <w:ilvl w:val="1"/>
                <w:numId w:val="2"/>
              </w:numPr>
              <w:jc w:val="both"/>
            </w:pPr>
            <w:r>
              <w:t xml:space="preserve"> izglītojamajiem vecumā no viena līdz diviem gadiem, tajā skaitā pa ēdienreizēm</w:t>
            </w:r>
          </w:p>
        </w:tc>
      </w:tr>
      <w:tr w:rsidR="00C63634" w14:paraId="708B4A48" w14:textId="77777777" w:rsidTr="00052256">
        <w:tc>
          <w:tcPr>
            <w:tcW w:w="1374" w:type="dxa"/>
          </w:tcPr>
          <w:p w14:paraId="41D2F9BF" w14:textId="77777777" w:rsidR="00C63634" w:rsidRDefault="00C63634" w:rsidP="00052256">
            <w:pPr>
              <w:pStyle w:val="Sarakstarindkopa"/>
              <w:ind w:left="0"/>
              <w:jc w:val="both"/>
            </w:pPr>
            <w:r>
              <w:t>1.1.1.</w:t>
            </w:r>
          </w:p>
        </w:tc>
        <w:tc>
          <w:tcPr>
            <w:tcW w:w="2355" w:type="dxa"/>
          </w:tcPr>
          <w:p w14:paraId="55C3EA8E" w14:textId="77777777" w:rsidR="00C63634" w:rsidRDefault="00C63634" w:rsidP="00052256">
            <w:pPr>
              <w:pStyle w:val="Sarakstarindkopa"/>
              <w:ind w:left="0"/>
              <w:jc w:val="both"/>
            </w:pPr>
            <w:r>
              <w:t>Brokastis</w:t>
            </w:r>
          </w:p>
        </w:tc>
        <w:tc>
          <w:tcPr>
            <w:tcW w:w="1670" w:type="dxa"/>
          </w:tcPr>
          <w:p w14:paraId="580A1F14" w14:textId="77777777" w:rsidR="00C63634" w:rsidRPr="006572C4" w:rsidRDefault="00C63634" w:rsidP="00052256">
            <w:pPr>
              <w:pStyle w:val="Sarakstarindkopa"/>
              <w:ind w:left="0"/>
              <w:jc w:val="center"/>
            </w:pPr>
            <w:r>
              <w:t>0,64</w:t>
            </w:r>
          </w:p>
        </w:tc>
        <w:tc>
          <w:tcPr>
            <w:tcW w:w="1300" w:type="dxa"/>
          </w:tcPr>
          <w:p w14:paraId="175725C6" w14:textId="77777777" w:rsidR="00C63634" w:rsidRPr="00A54438" w:rsidRDefault="00C63634" w:rsidP="00052256">
            <w:pPr>
              <w:pStyle w:val="Sarakstarindkopa"/>
              <w:ind w:left="0"/>
              <w:jc w:val="center"/>
            </w:pPr>
            <w:r w:rsidRPr="00A54438">
              <w:t>0</w:t>
            </w:r>
            <w:r>
              <w:t>,33</w:t>
            </w:r>
          </w:p>
        </w:tc>
        <w:tc>
          <w:tcPr>
            <w:tcW w:w="1084" w:type="dxa"/>
          </w:tcPr>
          <w:p w14:paraId="0550D8CD" w14:textId="77777777" w:rsidR="00C63634" w:rsidRPr="00A54438" w:rsidRDefault="00C63634" w:rsidP="00052256">
            <w:pPr>
              <w:pStyle w:val="Sarakstarindkopa"/>
              <w:ind w:left="0"/>
              <w:jc w:val="center"/>
            </w:pPr>
            <w:r>
              <w:t>0,97</w:t>
            </w:r>
          </w:p>
        </w:tc>
        <w:tc>
          <w:tcPr>
            <w:tcW w:w="1148" w:type="dxa"/>
          </w:tcPr>
          <w:p w14:paraId="0999E8F9" w14:textId="77777777" w:rsidR="00C63634" w:rsidRDefault="00C63634" w:rsidP="00052256">
            <w:pPr>
              <w:pStyle w:val="Sarakstarindkopa"/>
              <w:ind w:left="0"/>
              <w:jc w:val="both"/>
            </w:pPr>
            <w:r>
              <w:t>Nepiemēro</w:t>
            </w:r>
          </w:p>
        </w:tc>
      </w:tr>
      <w:tr w:rsidR="00C63634" w14:paraId="5CF34CC7" w14:textId="77777777" w:rsidTr="00052256">
        <w:tc>
          <w:tcPr>
            <w:tcW w:w="1374" w:type="dxa"/>
          </w:tcPr>
          <w:p w14:paraId="2AADA458" w14:textId="77777777" w:rsidR="00C63634" w:rsidRDefault="00C63634" w:rsidP="00052256">
            <w:pPr>
              <w:pStyle w:val="Sarakstarindkopa"/>
              <w:ind w:left="0"/>
              <w:jc w:val="both"/>
            </w:pPr>
            <w:r>
              <w:t>1.1.2.</w:t>
            </w:r>
          </w:p>
        </w:tc>
        <w:tc>
          <w:tcPr>
            <w:tcW w:w="2355" w:type="dxa"/>
          </w:tcPr>
          <w:p w14:paraId="628684EE" w14:textId="77777777" w:rsidR="00C63634" w:rsidRDefault="00C63634" w:rsidP="00052256">
            <w:pPr>
              <w:pStyle w:val="Sarakstarindkopa"/>
              <w:ind w:left="0"/>
              <w:jc w:val="both"/>
            </w:pPr>
            <w:r>
              <w:t>Pusdienas</w:t>
            </w:r>
          </w:p>
        </w:tc>
        <w:tc>
          <w:tcPr>
            <w:tcW w:w="1670" w:type="dxa"/>
          </w:tcPr>
          <w:p w14:paraId="5DA68ACE" w14:textId="77777777" w:rsidR="00C63634" w:rsidRPr="006572C4" w:rsidRDefault="00C63634" w:rsidP="00052256">
            <w:pPr>
              <w:jc w:val="center"/>
            </w:pPr>
            <w:r>
              <w:t>0,64</w:t>
            </w:r>
          </w:p>
        </w:tc>
        <w:tc>
          <w:tcPr>
            <w:tcW w:w="1300" w:type="dxa"/>
          </w:tcPr>
          <w:p w14:paraId="5927F3B3" w14:textId="77777777" w:rsidR="00C63634" w:rsidRPr="00A54438" w:rsidRDefault="00C63634" w:rsidP="00052256">
            <w:pPr>
              <w:pStyle w:val="Sarakstarindkopa"/>
              <w:ind w:left="0"/>
              <w:jc w:val="center"/>
            </w:pPr>
            <w:r w:rsidRPr="00A54438">
              <w:t>0</w:t>
            </w:r>
            <w:r>
              <w:t>,90</w:t>
            </w:r>
          </w:p>
        </w:tc>
        <w:tc>
          <w:tcPr>
            <w:tcW w:w="1084" w:type="dxa"/>
          </w:tcPr>
          <w:p w14:paraId="6CBD0552" w14:textId="77777777" w:rsidR="00C63634" w:rsidRPr="00A54438" w:rsidRDefault="00C63634" w:rsidP="00052256">
            <w:pPr>
              <w:pStyle w:val="Sarakstarindkopa"/>
              <w:ind w:left="0"/>
              <w:jc w:val="center"/>
            </w:pPr>
            <w:r>
              <w:t>1,54</w:t>
            </w:r>
          </w:p>
        </w:tc>
        <w:tc>
          <w:tcPr>
            <w:tcW w:w="1148" w:type="dxa"/>
          </w:tcPr>
          <w:p w14:paraId="2A821F30" w14:textId="77777777" w:rsidR="00C63634" w:rsidRDefault="00C63634" w:rsidP="00052256">
            <w:pPr>
              <w:pStyle w:val="Sarakstarindkopa"/>
              <w:ind w:left="0"/>
              <w:jc w:val="both"/>
            </w:pPr>
            <w:r>
              <w:t>Nepiemēro</w:t>
            </w:r>
          </w:p>
        </w:tc>
      </w:tr>
      <w:tr w:rsidR="00C63634" w14:paraId="3AF7B702" w14:textId="77777777" w:rsidTr="00052256">
        <w:tc>
          <w:tcPr>
            <w:tcW w:w="1374" w:type="dxa"/>
          </w:tcPr>
          <w:p w14:paraId="7CD54E0C" w14:textId="77777777" w:rsidR="00C63634" w:rsidRDefault="00C63634" w:rsidP="00052256">
            <w:pPr>
              <w:pStyle w:val="Sarakstarindkopa"/>
              <w:ind w:left="0"/>
              <w:jc w:val="both"/>
            </w:pPr>
            <w:r>
              <w:t>1.1.3.</w:t>
            </w:r>
          </w:p>
        </w:tc>
        <w:tc>
          <w:tcPr>
            <w:tcW w:w="2355" w:type="dxa"/>
          </w:tcPr>
          <w:p w14:paraId="1E2027CF" w14:textId="77777777" w:rsidR="00C63634" w:rsidRDefault="00C63634" w:rsidP="00052256">
            <w:pPr>
              <w:pStyle w:val="Sarakstarindkopa"/>
              <w:ind w:left="0"/>
              <w:jc w:val="both"/>
            </w:pPr>
            <w:r>
              <w:t>Launags</w:t>
            </w:r>
          </w:p>
        </w:tc>
        <w:tc>
          <w:tcPr>
            <w:tcW w:w="1670" w:type="dxa"/>
          </w:tcPr>
          <w:p w14:paraId="52A3F701" w14:textId="77777777" w:rsidR="00C63634" w:rsidRPr="006572C4" w:rsidRDefault="00C63634" w:rsidP="00052256">
            <w:pPr>
              <w:jc w:val="center"/>
            </w:pPr>
            <w:r>
              <w:t>0,64</w:t>
            </w:r>
          </w:p>
        </w:tc>
        <w:tc>
          <w:tcPr>
            <w:tcW w:w="1300" w:type="dxa"/>
          </w:tcPr>
          <w:p w14:paraId="7747D426" w14:textId="77777777" w:rsidR="00C63634" w:rsidRPr="00A54438" w:rsidRDefault="00C63634" w:rsidP="00052256">
            <w:pPr>
              <w:pStyle w:val="Sarakstarindkopa"/>
              <w:ind w:left="0"/>
              <w:jc w:val="center"/>
            </w:pPr>
            <w:r w:rsidRPr="00A54438">
              <w:t>0</w:t>
            </w:r>
            <w:r>
              <w:t>,35</w:t>
            </w:r>
          </w:p>
        </w:tc>
        <w:tc>
          <w:tcPr>
            <w:tcW w:w="1084" w:type="dxa"/>
          </w:tcPr>
          <w:p w14:paraId="19A2C080" w14:textId="77777777" w:rsidR="00C63634" w:rsidRPr="00A54438" w:rsidRDefault="00C63634" w:rsidP="00052256">
            <w:pPr>
              <w:pStyle w:val="Sarakstarindkopa"/>
              <w:ind w:left="0"/>
              <w:jc w:val="center"/>
            </w:pPr>
            <w:r>
              <w:t>0,99</w:t>
            </w:r>
          </w:p>
        </w:tc>
        <w:tc>
          <w:tcPr>
            <w:tcW w:w="1148" w:type="dxa"/>
          </w:tcPr>
          <w:p w14:paraId="13BFAA5F" w14:textId="77777777" w:rsidR="00C63634" w:rsidRDefault="00C63634" w:rsidP="00052256">
            <w:pPr>
              <w:pStyle w:val="Sarakstarindkopa"/>
              <w:ind w:left="0"/>
              <w:jc w:val="both"/>
            </w:pPr>
            <w:r>
              <w:t>Nepiemēro</w:t>
            </w:r>
          </w:p>
        </w:tc>
      </w:tr>
      <w:tr w:rsidR="00C63634" w14:paraId="2555EFCA" w14:textId="77777777" w:rsidTr="00052256">
        <w:tc>
          <w:tcPr>
            <w:tcW w:w="1374" w:type="dxa"/>
          </w:tcPr>
          <w:p w14:paraId="4C349FEB" w14:textId="77777777" w:rsidR="00C63634" w:rsidRDefault="00C63634" w:rsidP="00052256">
            <w:pPr>
              <w:pStyle w:val="Sarakstarindkopa"/>
              <w:ind w:left="0"/>
              <w:jc w:val="both"/>
            </w:pPr>
          </w:p>
        </w:tc>
        <w:tc>
          <w:tcPr>
            <w:tcW w:w="2355" w:type="dxa"/>
          </w:tcPr>
          <w:p w14:paraId="19E7CC32" w14:textId="77777777" w:rsidR="00C63634" w:rsidRPr="00DD268F" w:rsidRDefault="00C63634" w:rsidP="00052256">
            <w:pPr>
              <w:pStyle w:val="Sarakstarindkopa"/>
              <w:ind w:left="0"/>
              <w:jc w:val="both"/>
              <w:rPr>
                <w:b/>
              </w:rPr>
            </w:pPr>
            <w:r w:rsidRPr="00DD268F">
              <w:rPr>
                <w:b/>
              </w:rPr>
              <w:t>Kopā</w:t>
            </w:r>
          </w:p>
        </w:tc>
        <w:tc>
          <w:tcPr>
            <w:tcW w:w="1670" w:type="dxa"/>
          </w:tcPr>
          <w:p w14:paraId="6C915B20" w14:textId="77777777" w:rsidR="00C63634" w:rsidRPr="006572C4" w:rsidRDefault="00C63634" w:rsidP="00052256">
            <w:pPr>
              <w:pStyle w:val="Sarakstarindkopa"/>
              <w:ind w:left="0"/>
              <w:jc w:val="center"/>
              <w:rPr>
                <w:b/>
              </w:rPr>
            </w:pPr>
            <w:r>
              <w:rPr>
                <w:b/>
              </w:rPr>
              <w:t>1,92</w:t>
            </w:r>
          </w:p>
        </w:tc>
        <w:tc>
          <w:tcPr>
            <w:tcW w:w="1300" w:type="dxa"/>
          </w:tcPr>
          <w:p w14:paraId="1F61C6F9" w14:textId="77777777" w:rsidR="00C63634" w:rsidRPr="00A54438" w:rsidRDefault="00C63634" w:rsidP="00052256">
            <w:pPr>
              <w:pStyle w:val="Sarakstarindkopa"/>
              <w:ind w:left="0"/>
              <w:jc w:val="center"/>
              <w:rPr>
                <w:b/>
              </w:rPr>
            </w:pPr>
            <w:r w:rsidRPr="00A54438">
              <w:rPr>
                <w:b/>
              </w:rPr>
              <w:t>1</w:t>
            </w:r>
            <w:r>
              <w:rPr>
                <w:b/>
              </w:rPr>
              <w:t>,58</w:t>
            </w:r>
          </w:p>
        </w:tc>
        <w:tc>
          <w:tcPr>
            <w:tcW w:w="1084" w:type="dxa"/>
          </w:tcPr>
          <w:p w14:paraId="051B0B1D" w14:textId="77777777" w:rsidR="00C63634" w:rsidRPr="00A54438" w:rsidRDefault="00C63634" w:rsidP="00052256">
            <w:pPr>
              <w:pStyle w:val="Sarakstarindkopa"/>
              <w:ind w:left="0"/>
              <w:jc w:val="center"/>
              <w:rPr>
                <w:b/>
              </w:rPr>
            </w:pPr>
            <w:r>
              <w:rPr>
                <w:b/>
              </w:rPr>
              <w:t>3,50</w:t>
            </w:r>
          </w:p>
        </w:tc>
        <w:tc>
          <w:tcPr>
            <w:tcW w:w="1148" w:type="dxa"/>
          </w:tcPr>
          <w:p w14:paraId="7986040A" w14:textId="77777777" w:rsidR="00C63634" w:rsidRDefault="00C63634" w:rsidP="00052256">
            <w:pPr>
              <w:pStyle w:val="Sarakstarindkopa"/>
              <w:ind w:left="0"/>
              <w:jc w:val="both"/>
            </w:pPr>
          </w:p>
        </w:tc>
      </w:tr>
      <w:tr w:rsidR="00C63634" w14:paraId="732887AB" w14:textId="77777777" w:rsidTr="00052256">
        <w:trPr>
          <w:trHeight w:val="280"/>
        </w:trPr>
        <w:tc>
          <w:tcPr>
            <w:tcW w:w="8931" w:type="dxa"/>
            <w:gridSpan w:val="6"/>
          </w:tcPr>
          <w:p w14:paraId="6CDCF178" w14:textId="77777777" w:rsidR="00C63634" w:rsidRPr="00A54438" w:rsidRDefault="00C63634" w:rsidP="00052256">
            <w:pPr>
              <w:jc w:val="both"/>
            </w:pPr>
            <w:r w:rsidRPr="00A54438">
              <w:t>1.2. izglītojamajiem vecumā no trīs līdz sešiem gadiem, tajā skaitā pa ēdienreizēm:</w:t>
            </w:r>
          </w:p>
        </w:tc>
      </w:tr>
      <w:tr w:rsidR="00C63634" w14:paraId="49965292" w14:textId="77777777" w:rsidTr="00052256">
        <w:tc>
          <w:tcPr>
            <w:tcW w:w="1374" w:type="dxa"/>
          </w:tcPr>
          <w:p w14:paraId="74E9ADB8" w14:textId="77777777" w:rsidR="00C63634" w:rsidRDefault="00C63634" w:rsidP="00052256">
            <w:pPr>
              <w:pStyle w:val="Sarakstarindkopa"/>
              <w:ind w:left="0"/>
              <w:jc w:val="both"/>
            </w:pPr>
            <w:r>
              <w:t>1.2.1.</w:t>
            </w:r>
          </w:p>
        </w:tc>
        <w:tc>
          <w:tcPr>
            <w:tcW w:w="2355" w:type="dxa"/>
          </w:tcPr>
          <w:p w14:paraId="43BA5CC3" w14:textId="77777777" w:rsidR="00C63634" w:rsidRDefault="00C63634" w:rsidP="00052256">
            <w:pPr>
              <w:pStyle w:val="Sarakstarindkopa"/>
              <w:ind w:left="0"/>
              <w:jc w:val="both"/>
            </w:pPr>
            <w:r>
              <w:t>Brokastis</w:t>
            </w:r>
          </w:p>
        </w:tc>
        <w:tc>
          <w:tcPr>
            <w:tcW w:w="1670" w:type="dxa"/>
          </w:tcPr>
          <w:p w14:paraId="5F85747D" w14:textId="77777777" w:rsidR="00C63634" w:rsidRPr="006572C4" w:rsidRDefault="00C63634" w:rsidP="00052256">
            <w:pPr>
              <w:pStyle w:val="Sarakstarindkopa"/>
              <w:ind w:left="0"/>
              <w:jc w:val="center"/>
            </w:pPr>
            <w:r>
              <w:t>0,64</w:t>
            </w:r>
          </w:p>
        </w:tc>
        <w:tc>
          <w:tcPr>
            <w:tcW w:w="1300" w:type="dxa"/>
          </w:tcPr>
          <w:p w14:paraId="1DD2BC79" w14:textId="77777777" w:rsidR="00C63634" w:rsidRPr="00A54438" w:rsidRDefault="00C63634" w:rsidP="00052256">
            <w:pPr>
              <w:pStyle w:val="Sarakstarindkopa"/>
              <w:ind w:left="0"/>
              <w:jc w:val="center"/>
            </w:pPr>
            <w:r>
              <w:t>0,40</w:t>
            </w:r>
          </w:p>
        </w:tc>
        <w:tc>
          <w:tcPr>
            <w:tcW w:w="1084" w:type="dxa"/>
          </w:tcPr>
          <w:p w14:paraId="3895385D" w14:textId="77777777" w:rsidR="00C63634" w:rsidRPr="00A54438" w:rsidRDefault="00C63634" w:rsidP="00052256">
            <w:pPr>
              <w:pStyle w:val="Sarakstarindkopa"/>
              <w:ind w:left="0"/>
              <w:jc w:val="center"/>
            </w:pPr>
            <w:r>
              <w:t>1,04</w:t>
            </w:r>
          </w:p>
        </w:tc>
        <w:tc>
          <w:tcPr>
            <w:tcW w:w="1148" w:type="dxa"/>
          </w:tcPr>
          <w:p w14:paraId="4FA0096C" w14:textId="77777777" w:rsidR="00C63634" w:rsidRDefault="00C63634" w:rsidP="00052256">
            <w:pPr>
              <w:pStyle w:val="Sarakstarindkopa"/>
              <w:ind w:left="0"/>
              <w:jc w:val="both"/>
            </w:pPr>
            <w:r>
              <w:t>Nepiemēro</w:t>
            </w:r>
          </w:p>
        </w:tc>
      </w:tr>
      <w:tr w:rsidR="00C63634" w14:paraId="7188F959" w14:textId="77777777" w:rsidTr="00052256">
        <w:tc>
          <w:tcPr>
            <w:tcW w:w="1374" w:type="dxa"/>
          </w:tcPr>
          <w:p w14:paraId="26EA78D1" w14:textId="77777777" w:rsidR="00C63634" w:rsidRDefault="00C63634" w:rsidP="00052256">
            <w:pPr>
              <w:pStyle w:val="Sarakstarindkopa"/>
              <w:ind w:left="0"/>
              <w:jc w:val="both"/>
            </w:pPr>
            <w:r>
              <w:t>1.2.2.</w:t>
            </w:r>
          </w:p>
        </w:tc>
        <w:tc>
          <w:tcPr>
            <w:tcW w:w="2355" w:type="dxa"/>
          </w:tcPr>
          <w:p w14:paraId="0C29B23C" w14:textId="77777777" w:rsidR="00C63634" w:rsidRDefault="00C63634" w:rsidP="00052256">
            <w:pPr>
              <w:pStyle w:val="Sarakstarindkopa"/>
              <w:ind w:left="0"/>
              <w:jc w:val="both"/>
            </w:pPr>
            <w:r>
              <w:t>Pusdienas</w:t>
            </w:r>
          </w:p>
        </w:tc>
        <w:tc>
          <w:tcPr>
            <w:tcW w:w="1670" w:type="dxa"/>
          </w:tcPr>
          <w:p w14:paraId="36A76623" w14:textId="77777777" w:rsidR="00C63634" w:rsidRPr="006572C4" w:rsidRDefault="00C63634" w:rsidP="00052256">
            <w:pPr>
              <w:jc w:val="center"/>
            </w:pPr>
            <w:r>
              <w:t>0,64</w:t>
            </w:r>
          </w:p>
        </w:tc>
        <w:tc>
          <w:tcPr>
            <w:tcW w:w="1300" w:type="dxa"/>
          </w:tcPr>
          <w:p w14:paraId="4F062B59" w14:textId="77777777" w:rsidR="00C63634" w:rsidRPr="00A54438" w:rsidRDefault="00C63634" w:rsidP="00052256">
            <w:pPr>
              <w:pStyle w:val="Sarakstarindkopa"/>
              <w:ind w:left="0"/>
              <w:jc w:val="center"/>
            </w:pPr>
            <w:r>
              <w:t>1,21</w:t>
            </w:r>
          </w:p>
        </w:tc>
        <w:tc>
          <w:tcPr>
            <w:tcW w:w="1084" w:type="dxa"/>
          </w:tcPr>
          <w:p w14:paraId="3AB9DEFB" w14:textId="77777777" w:rsidR="00C63634" w:rsidRPr="00A54438" w:rsidRDefault="00C63634" w:rsidP="00052256">
            <w:pPr>
              <w:pStyle w:val="Sarakstarindkopa"/>
              <w:ind w:left="0"/>
              <w:jc w:val="center"/>
            </w:pPr>
            <w:r>
              <w:t>1,85</w:t>
            </w:r>
          </w:p>
        </w:tc>
        <w:tc>
          <w:tcPr>
            <w:tcW w:w="1148" w:type="dxa"/>
          </w:tcPr>
          <w:p w14:paraId="07AC215F" w14:textId="77777777" w:rsidR="00C63634" w:rsidRDefault="00C63634" w:rsidP="00052256">
            <w:pPr>
              <w:pStyle w:val="Sarakstarindkopa"/>
              <w:ind w:left="0"/>
              <w:jc w:val="both"/>
            </w:pPr>
            <w:r>
              <w:t>Nepiemēro</w:t>
            </w:r>
          </w:p>
        </w:tc>
      </w:tr>
      <w:tr w:rsidR="00C63634" w14:paraId="184E6862" w14:textId="77777777" w:rsidTr="00052256">
        <w:tc>
          <w:tcPr>
            <w:tcW w:w="1374" w:type="dxa"/>
          </w:tcPr>
          <w:p w14:paraId="2ED2C23F" w14:textId="77777777" w:rsidR="00C63634" w:rsidRDefault="00C63634" w:rsidP="00052256">
            <w:pPr>
              <w:pStyle w:val="Sarakstarindkopa"/>
              <w:ind w:left="0"/>
              <w:jc w:val="both"/>
            </w:pPr>
            <w:r>
              <w:t>1.2.3.</w:t>
            </w:r>
          </w:p>
        </w:tc>
        <w:tc>
          <w:tcPr>
            <w:tcW w:w="2355" w:type="dxa"/>
          </w:tcPr>
          <w:p w14:paraId="6672A88D" w14:textId="77777777" w:rsidR="00C63634" w:rsidRDefault="00C63634" w:rsidP="00052256">
            <w:pPr>
              <w:pStyle w:val="Sarakstarindkopa"/>
              <w:ind w:left="0"/>
              <w:jc w:val="both"/>
            </w:pPr>
            <w:r>
              <w:t>Launags</w:t>
            </w:r>
          </w:p>
        </w:tc>
        <w:tc>
          <w:tcPr>
            <w:tcW w:w="1670" w:type="dxa"/>
          </w:tcPr>
          <w:p w14:paraId="57B915DE" w14:textId="77777777" w:rsidR="00C63634" w:rsidRPr="006572C4" w:rsidRDefault="00C63634" w:rsidP="00052256">
            <w:pPr>
              <w:jc w:val="center"/>
            </w:pPr>
            <w:r>
              <w:t>0,64</w:t>
            </w:r>
          </w:p>
        </w:tc>
        <w:tc>
          <w:tcPr>
            <w:tcW w:w="1300" w:type="dxa"/>
          </w:tcPr>
          <w:p w14:paraId="7288CE05" w14:textId="77777777" w:rsidR="00C63634" w:rsidRPr="00A54438" w:rsidRDefault="00C63634" w:rsidP="00052256">
            <w:pPr>
              <w:pStyle w:val="Sarakstarindkopa"/>
              <w:ind w:left="0"/>
              <w:jc w:val="center"/>
            </w:pPr>
            <w:r>
              <w:t>0,42</w:t>
            </w:r>
          </w:p>
        </w:tc>
        <w:tc>
          <w:tcPr>
            <w:tcW w:w="1084" w:type="dxa"/>
          </w:tcPr>
          <w:p w14:paraId="055496FF" w14:textId="77777777" w:rsidR="00C63634" w:rsidRPr="00A54438" w:rsidRDefault="00C63634" w:rsidP="00052256">
            <w:pPr>
              <w:pStyle w:val="Sarakstarindkopa"/>
              <w:ind w:left="0"/>
              <w:jc w:val="center"/>
            </w:pPr>
            <w:r>
              <w:t>1,06</w:t>
            </w:r>
          </w:p>
        </w:tc>
        <w:tc>
          <w:tcPr>
            <w:tcW w:w="1148" w:type="dxa"/>
          </w:tcPr>
          <w:p w14:paraId="19316DCF" w14:textId="77777777" w:rsidR="00C63634" w:rsidRDefault="00C63634" w:rsidP="00052256">
            <w:pPr>
              <w:pStyle w:val="Sarakstarindkopa"/>
              <w:ind w:left="0"/>
              <w:jc w:val="both"/>
            </w:pPr>
            <w:r>
              <w:t>Nepiemēro</w:t>
            </w:r>
          </w:p>
        </w:tc>
      </w:tr>
      <w:tr w:rsidR="00C63634" w14:paraId="669EEF4C" w14:textId="77777777" w:rsidTr="00052256">
        <w:tc>
          <w:tcPr>
            <w:tcW w:w="1374" w:type="dxa"/>
          </w:tcPr>
          <w:p w14:paraId="13072456" w14:textId="77777777" w:rsidR="00C63634" w:rsidRDefault="00C63634" w:rsidP="00052256">
            <w:pPr>
              <w:pStyle w:val="Sarakstarindkopa"/>
              <w:ind w:left="0"/>
              <w:jc w:val="both"/>
            </w:pPr>
          </w:p>
        </w:tc>
        <w:tc>
          <w:tcPr>
            <w:tcW w:w="2355" w:type="dxa"/>
          </w:tcPr>
          <w:p w14:paraId="1409BB94" w14:textId="77777777" w:rsidR="00C63634" w:rsidRPr="00DD268F" w:rsidRDefault="00C63634" w:rsidP="00052256">
            <w:pPr>
              <w:pStyle w:val="Sarakstarindkopa"/>
              <w:ind w:left="0"/>
              <w:jc w:val="both"/>
              <w:rPr>
                <w:b/>
              </w:rPr>
            </w:pPr>
            <w:r w:rsidRPr="00DD268F">
              <w:rPr>
                <w:b/>
              </w:rPr>
              <w:t>Kopā</w:t>
            </w:r>
          </w:p>
        </w:tc>
        <w:tc>
          <w:tcPr>
            <w:tcW w:w="1670" w:type="dxa"/>
          </w:tcPr>
          <w:p w14:paraId="546DE96B" w14:textId="77777777" w:rsidR="00C63634" w:rsidRPr="006572C4" w:rsidRDefault="00C63634" w:rsidP="00052256">
            <w:pPr>
              <w:pStyle w:val="Sarakstarindkopa"/>
              <w:ind w:left="0"/>
              <w:jc w:val="center"/>
              <w:rPr>
                <w:b/>
              </w:rPr>
            </w:pPr>
            <w:r>
              <w:rPr>
                <w:b/>
              </w:rPr>
              <w:t>1,92</w:t>
            </w:r>
          </w:p>
        </w:tc>
        <w:tc>
          <w:tcPr>
            <w:tcW w:w="1300" w:type="dxa"/>
          </w:tcPr>
          <w:p w14:paraId="17A080BF" w14:textId="77777777" w:rsidR="00C63634" w:rsidRPr="00A54438" w:rsidRDefault="00C63634" w:rsidP="00052256">
            <w:pPr>
              <w:pStyle w:val="Sarakstarindkopa"/>
              <w:ind w:left="0"/>
              <w:jc w:val="center"/>
              <w:rPr>
                <w:b/>
              </w:rPr>
            </w:pPr>
            <w:r>
              <w:rPr>
                <w:b/>
              </w:rPr>
              <w:t>2,03</w:t>
            </w:r>
          </w:p>
        </w:tc>
        <w:tc>
          <w:tcPr>
            <w:tcW w:w="1084" w:type="dxa"/>
          </w:tcPr>
          <w:p w14:paraId="0377CED2" w14:textId="77777777" w:rsidR="00C63634" w:rsidRPr="00A54438" w:rsidRDefault="00C63634" w:rsidP="00052256">
            <w:pPr>
              <w:pStyle w:val="Sarakstarindkopa"/>
              <w:ind w:left="0"/>
              <w:jc w:val="center"/>
              <w:rPr>
                <w:b/>
              </w:rPr>
            </w:pPr>
            <w:r>
              <w:rPr>
                <w:b/>
              </w:rPr>
              <w:t>3,95</w:t>
            </w:r>
          </w:p>
        </w:tc>
        <w:tc>
          <w:tcPr>
            <w:tcW w:w="1148" w:type="dxa"/>
          </w:tcPr>
          <w:p w14:paraId="264600F1" w14:textId="77777777" w:rsidR="00C63634" w:rsidRDefault="00C63634" w:rsidP="00052256">
            <w:pPr>
              <w:pStyle w:val="Sarakstarindkopa"/>
              <w:ind w:left="0"/>
              <w:jc w:val="both"/>
            </w:pPr>
          </w:p>
        </w:tc>
      </w:tr>
      <w:tr w:rsidR="00C63634" w14:paraId="4730F233" w14:textId="77777777" w:rsidTr="00052256">
        <w:tc>
          <w:tcPr>
            <w:tcW w:w="8931" w:type="dxa"/>
            <w:gridSpan w:val="6"/>
          </w:tcPr>
          <w:p w14:paraId="7A4F16F7" w14:textId="77777777" w:rsidR="00C63634" w:rsidRPr="00A54438" w:rsidRDefault="00C63634" w:rsidP="00052256">
            <w:pPr>
              <w:pStyle w:val="Sarakstarindkopa"/>
              <w:ind w:left="0"/>
              <w:jc w:val="both"/>
            </w:pPr>
            <w:r w:rsidRPr="00A54438">
              <w:t>1.3. izglītojamajiem, par kuriem Iestādē ir iesniegts ārsta atzinums par speciālā uztura nepieciešamību, tajā skaitā pa ēdienreizēm:</w:t>
            </w:r>
          </w:p>
        </w:tc>
      </w:tr>
      <w:tr w:rsidR="00C63634" w14:paraId="7746FD50" w14:textId="77777777" w:rsidTr="00052256">
        <w:tc>
          <w:tcPr>
            <w:tcW w:w="1374" w:type="dxa"/>
          </w:tcPr>
          <w:p w14:paraId="3BC85ABB" w14:textId="77777777" w:rsidR="00C63634" w:rsidRDefault="00C63634" w:rsidP="00052256">
            <w:pPr>
              <w:pStyle w:val="Sarakstarindkopa"/>
              <w:ind w:left="0"/>
              <w:jc w:val="both"/>
            </w:pPr>
            <w:r>
              <w:t>1.3.1.</w:t>
            </w:r>
          </w:p>
        </w:tc>
        <w:tc>
          <w:tcPr>
            <w:tcW w:w="2355" w:type="dxa"/>
          </w:tcPr>
          <w:p w14:paraId="104D875C" w14:textId="77777777" w:rsidR="00C63634" w:rsidRPr="00DD268F" w:rsidRDefault="00C63634" w:rsidP="00052256">
            <w:pPr>
              <w:pStyle w:val="Sarakstarindkopa"/>
              <w:ind w:left="0"/>
              <w:jc w:val="both"/>
              <w:rPr>
                <w:b/>
              </w:rPr>
            </w:pPr>
            <w:r>
              <w:t>Brokastis</w:t>
            </w:r>
          </w:p>
        </w:tc>
        <w:tc>
          <w:tcPr>
            <w:tcW w:w="1670" w:type="dxa"/>
          </w:tcPr>
          <w:p w14:paraId="094E9C95" w14:textId="77777777" w:rsidR="00C63634" w:rsidRPr="006572C4" w:rsidRDefault="00C63634" w:rsidP="00052256">
            <w:pPr>
              <w:pStyle w:val="Sarakstarindkopa"/>
              <w:ind w:left="0"/>
              <w:jc w:val="center"/>
            </w:pPr>
            <w:r>
              <w:t>0,64</w:t>
            </w:r>
          </w:p>
        </w:tc>
        <w:tc>
          <w:tcPr>
            <w:tcW w:w="1300" w:type="dxa"/>
          </w:tcPr>
          <w:p w14:paraId="27D9B089" w14:textId="77777777" w:rsidR="00C63634" w:rsidRPr="00A54438" w:rsidRDefault="00C63634" w:rsidP="00052256">
            <w:pPr>
              <w:pStyle w:val="Sarakstarindkopa"/>
              <w:ind w:left="0"/>
              <w:jc w:val="center"/>
            </w:pPr>
            <w:r>
              <w:t>0,40</w:t>
            </w:r>
          </w:p>
        </w:tc>
        <w:tc>
          <w:tcPr>
            <w:tcW w:w="1084" w:type="dxa"/>
          </w:tcPr>
          <w:p w14:paraId="65563848" w14:textId="77777777" w:rsidR="00C63634" w:rsidRPr="00A54438" w:rsidRDefault="00C63634" w:rsidP="00052256">
            <w:pPr>
              <w:pStyle w:val="Sarakstarindkopa"/>
              <w:ind w:left="0"/>
              <w:jc w:val="center"/>
            </w:pPr>
            <w:r>
              <w:t>1,04</w:t>
            </w:r>
          </w:p>
        </w:tc>
        <w:tc>
          <w:tcPr>
            <w:tcW w:w="1148" w:type="dxa"/>
          </w:tcPr>
          <w:p w14:paraId="37BA0B0F" w14:textId="77777777" w:rsidR="00C63634" w:rsidRDefault="00C63634" w:rsidP="00052256">
            <w:pPr>
              <w:pStyle w:val="Sarakstarindkopa"/>
              <w:ind w:left="0"/>
              <w:jc w:val="both"/>
            </w:pPr>
            <w:r>
              <w:t>Nepiemēro</w:t>
            </w:r>
          </w:p>
        </w:tc>
      </w:tr>
      <w:tr w:rsidR="00C63634" w14:paraId="1EF2829F" w14:textId="77777777" w:rsidTr="00052256">
        <w:tc>
          <w:tcPr>
            <w:tcW w:w="1374" w:type="dxa"/>
          </w:tcPr>
          <w:p w14:paraId="7970CF1C" w14:textId="77777777" w:rsidR="00C63634" w:rsidRDefault="00C63634" w:rsidP="00052256">
            <w:pPr>
              <w:pStyle w:val="Sarakstarindkopa"/>
              <w:ind w:left="0"/>
              <w:jc w:val="both"/>
            </w:pPr>
            <w:r>
              <w:t>1.3.2.</w:t>
            </w:r>
          </w:p>
        </w:tc>
        <w:tc>
          <w:tcPr>
            <w:tcW w:w="2355" w:type="dxa"/>
          </w:tcPr>
          <w:p w14:paraId="77C6587C" w14:textId="77777777" w:rsidR="00C63634" w:rsidRPr="00DD268F" w:rsidRDefault="00C63634" w:rsidP="00052256">
            <w:pPr>
              <w:pStyle w:val="Sarakstarindkopa"/>
              <w:ind w:left="0"/>
              <w:jc w:val="both"/>
              <w:rPr>
                <w:b/>
              </w:rPr>
            </w:pPr>
            <w:r>
              <w:t>Pusdienas</w:t>
            </w:r>
          </w:p>
        </w:tc>
        <w:tc>
          <w:tcPr>
            <w:tcW w:w="1670" w:type="dxa"/>
          </w:tcPr>
          <w:p w14:paraId="0F3D7BDE" w14:textId="77777777" w:rsidR="00C63634" w:rsidRPr="006572C4" w:rsidRDefault="00C63634" w:rsidP="00052256">
            <w:pPr>
              <w:pStyle w:val="Sarakstarindkopa"/>
              <w:ind w:left="0"/>
              <w:jc w:val="center"/>
            </w:pPr>
            <w:r>
              <w:t>0,64</w:t>
            </w:r>
          </w:p>
        </w:tc>
        <w:tc>
          <w:tcPr>
            <w:tcW w:w="1300" w:type="dxa"/>
          </w:tcPr>
          <w:p w14:paraId="44C5C000" w14:textId="77777777" w:rsidR="00C63634" w:rsidRPr="00A54438" w:rsidRDefault="00C63634" w:rsidP="00052256">
            <w:pPr>
              <w:pStyle w:val="Sarakstarindkopa"/>
              <w:ind w:left="0"/>
              <w:jc w:val="center"/>
            </w:pPr>
            <w:r>
              <w:t>1,21</w:t>
            </w:r>
          </w:p>
        </w:tc>
        <w:tc>
          <w:tcPr>
            <w:tcW w:w="1084" w:type="dxa"/>
          </w:tcPr>
          <w:p w14:paraId="71639D5C" w14:textId="77777777" w:rsidR="00C63634" w:rsidRPr="00A54438" w:rsidRDefault="00C63634" w:rsidP="00052256">
            <w:pPr>
              <w:pStyle w:val="Sarakstarindkopa"/>
              <w:ind w:left="0"/>
              <w:jc w:val="center"/>
            </w:pPr>
            <w:r>
              <w:t>1,85</w:t>
            </w:r>
          </w:p>
        </w:tc>
        <w:tc>
          <w:tcPr>
            <w:tcW w:w="1148" w:type="dxa"/>
          </w:tcPr>
          <w:p w14:paraId="1598B8B4" w14:textId="77777777" w:rsidR="00C63634" w:rsidRDefault="00C63634" w:rsidP="00052256">
            <w:pPr>
              <w:pStyle w:val="Sarakstarindkopa"/>
              <w:ind w:left="0"/>
              <w:jc w:val="both"/>
            </w:pPr>
            <w:r>
              <w:t>Nepiemēro</w:t>
            </w:r>
          </w:p>
        </w:tc>
      </w:tr>
      <w:tr w:rsidR="00C63634" w14:paraId="5A45BBD0" w14:textId="77777777" w:rsidTr="00052256">
        <w:tc>
          <w:tcPr>
            <w:tcW w:w="1374" w:type="dxa"/>
          </w:tcPr>
          <w:p w14:paraId="5889CE33" w14:textId="77777777" w:rsidR="00C63634" w:rsidRDefault="00C63634" w:rsidP="00052256">
            <w:pPr>
              <w:pStyle w:val="Sarakstarindkopa"/>
              <w:ind w:left="0"/>
              <w:jc w:val="both"/>
            </w:pPr>
            <w:r>
              <w:t>1.3.3.</w:t>
            </w:r>
          </w:p>
        </w:tc>
        <w:tc>
          <w:tcPr>
            <w:tcW w:w="2355" w:type="dxa"/>
          </w:tcPr>
          <w:p w14:paraId="39B85C76" w14:textId="77777777" w:rsidR="00C63634" w:rsidRPr="00DD268F" w:rsidRDefault="00C63634" w:rsidP="00052256">
            <w:pPr>
              <w:pStyle w:val="Sarakstarindkopa"/>
              <w:ind w:left="0"/>
              <w:jc w:val="both"/>
              <w:rPr>
                <w:b/>
              </w:rPr>
            </w:pPr>
            <w:r>
              <w:t>Launags</w:t>
            </w:r>
          </w:p>
        </w:tc>
        <w:tc>
          <w:tcPr>
            <w:tcW w:w="1670" w:type="dxa"/>
          </w:tcPr>
          <w:p w14:paraId="70BFDDDA" w14:textId="77777777" w:rsidR="00C63634" w:rsidRPr="006572C4" w:rsidRDefault="00C63634" w:rsidP="00052256">
            <w:pPr>
              <w:pStyle w:val="Sarakstarindkopa"/>
              <w:ind w:left="0"/>
              <w:jc w:val="center"/>
            </w:pPr>
            <w:r>
              <w:t>0,64</w:t>
            </w:r>
          </w:p>
        </w:tc>
        <w:tc>
          <w:tcPr>
            <w:tcW w:w="1300" w:type="dxa"/>
          </w:tcPr>
          <w:p w14:paraId="0BAEDCE0" w14:textId="77777777" w:rsidR="00C63634" w:rsidRPr="00A54438" w:rsidRDefault="00C63634" w:rsidP="00052256">
            <w:pPr>
              <w:pStyle w:val="Sarakstarindkopa"/>
              <w:ind w:left="0"/>
              <w:jc w:val="center"/>
            </w:pPr>
            <w:r>
              <w:t>0,40</w:t>
            </w:r>
          </w:p>
        </w:tc>
        <w:tc>
          <w:tcPr>
            <w:tcW w:w="1084" w:type="dxa"/>
          </w:tcPr>
          <w:p w14:paraId="4E5C2769" w14:textId="77777777" w:rsidR="00C63634" w:rsidRPr="00A54438" w:rsidRDefault="00C63634" w:rsidP="00052256">
            <w:pPr>
              <w:pStyle w:val="Sarakstarindkopa"/>
              <w:ind w:left="0"/>
              <w:jc w:val="center"/>
            </w:pPr>
            <w:r>
              <w:t>1,04</w:t>
            </w:r>
          </w:p>
        </w:tc>
        <w:tc>
          <w:tcPr>
            <w:tcW w:w="1148" w:type="dxa"/>
          </w:tcPr>
          <w:p w14:paraId="4060BD2A" w14:textId="77777777" w:rsidR="00C63634" w:rsidRDefault="00C63634" w:rsidP="00052256">
            <w:pPr>
              <w:pStyle w:val="Sarakstarindkopa"/>
              <w:ind w:left="0"/>
              <w:jc w:val="both"/>
            </w:pPr>
            <w:r>
              <w:t>Nepiemēro</w:t>
            </w:r>
          </w:p>
        </w:tc>
      </w:tr>
      <w:tr w:rsidR="00C63634" w14:paraId="4ED2FB38" w14:textId="77777777" w:rsidTr="00052256">
        <w:tc>
          <w:tcPr>
            <w:tcW w:w="1374" w:type="dxa"/>
          </w:tcPr>
          <w:p w14:paraId="4043064F" w14:textId="77777777" w:rsidR="00C63634" w:rsidRDefault="00C63634" w:rsidP="00052256">
            <w:pPr>
              <w:pStyle w:val="Sarakstarindkopa"/>
              <w:ind w:left="0"/>
              <w:jc w:val="both"/>
            </w:pPr>
          </w:p>
        </w:tc>
        <w:tc>
          <w:tcPr>
            <w:tcW w:w="2355" w:type="dxa"/>
          </w:tcPr>
          <w:p w14:paraId="6655E62E" w14:textId="77777777" w:rsidR="00C63634" w:rsidRPr="00DD268F" w:rsidRDefault="00C63634" w:rsidP="00052256">
            <w:pPr>
              <w:pStyle w:val="Sarakstarindkopa"/>
              <w:ind w:left="0"/>
              <w:jc w:val="both"/>
              <w:rPr>
                <w:b/>
              </w:rPr>
            </w:pPr>
            <w:r w:rsidRPr="00DD268F">
              <w:rPr>
                <w:b/>
              </w:rPr>
              <w:t>Kopā</w:t>
            </w:r>
          </w:p>
        </w:tc>
        <w:tc>
          <w:tcPr>
            <w:tcW w:w="1670" w:type="dxa"/>
          </w:tcPr>
          <w:p w14:paraId="086C589E" w14:textId="77777777" w:rsidR="00C63634" w:rsidRPr="006572C4" w:rsidRDefault="00C63634" w:rsidP="00052256">
            <w:pPr>
              <w:pStyle w:val="Sarakstarindkopa"/>
              <w:ind w:left="0"/>
              <w:jc w:val="center"/>
              <w:rPr>
                <w:b/>
              </w:rPr>
            </w:pPr>
            <w:r>
              <w:rPr>
                <w:b/>
              </w:rPr>
              <w:t>1,92</w:t>
            </w:r>
          </w:p>
        </w:tc>
        <w:tc>
          <w:tcPr>
            <w:tcW w:w="1300" w:type="dxa"/>
          </w:tcPr>
          <w:p w14:paraId="3F905A13" w14:textId="77777777" w:rsidR="00C63634" w:rsidRPr="00A54438" w:rsidRDefault="00C63634" w:rsidP="00052256">
            <w:pPr>
              <w:pStyle w:val="Sarakstarindkopa"/>
              <w:ind w:left="0"/>
              <w:jc w:val="center"/>
              <w:rPr>
                <w:b/>
              </w:rPr>
            </w:pPr>
            <w:r>
              <w:rPr>
                <w:b/>
              </w:rPr>
              <w:t>2,01</w:t>
            </w:r>
          </w:p>
        </w:tc>
        <w:tc>
          <w:tcPr>
            <w:tcW w:w="1084" w:type="dxa"/>
          </w:tcPr>
          <w:p w14:paraId="1FDC58FB" w14:textId="77777777" w:rsidR="00C63634" w:rsidRPr="00A54438" w:rsidRDefault="00C63634" w:rsidP="00052256">
            <w:pPr>
              <w:pStyle w:val="Sarakstarindkopa"/>
              <w:ind w:left="0"/>
              <w:jc w:val="center"/>
              <w:rPr>
                <w:b/>
              </w:rPr>
            </w:pPr>
            <w:r>
              <w:rPr>
                <w:b/>
              </w:rPr>
              <w:t>3,93</w:t>
            </w:r>
          </w:p>
        </w:tc>
        <w:tc>
          <w:tcPr>
            <w:tcW w:w="1148" w:type="dxa"/>
          </w:tcPr>
          <w:p w14:paraId="634E52FF" w14:textId="77777777" w:rsidR="00C63634" w:rsidRDefault="00C63634" w:rsidP="00052256">
            <w:pPr>
              <w:pStyle w:val="Sarakstarindkopa"/>
              <w:ind w:left="0"/>
              <w:jc w:val="both"/>
            </w:pPr>
          </w:p>
        </w:tc>
      </w:tr>
      <w:tr w:rsidR="00C63634" w14:paraId="05E6EAE3" w14:textId="77777777" w:rsidTr="00052256">
        <w:trPr>
          <w:trHeight w:val="269"/>
        </w:trPr>
        <w:tc>
          <w:tcPr>
            <w:tcW w:w="8931" w:type="dxa"/>
            <w:gridSpan w:val="6"/>
          </w:tcPr>
          <w:p w14:paraId="0EFC737B" w14:textId="77777777" w:rsidR="00C63634" w:rsidRPr="00A54438" w:rsidRDefault="00C63634" w:rsidP="00052256">
            <w:pPr>
              <w:jc w:val="both"/>
            </w:pPr>
            <w:r w:rsidRPr="00A54438">
              <w:t>1.4. darbiniekiem, tajā skaitā pa ēdienreizēm:</w:t>
            </w:r>
          </w:p>
        </w:tc>
      </w:tr>
      <w:tr w:rsidR="00C63634" w14:paraId="7BBD7DFF" w14:textId="77777777" w:rsidTr="00052256">
        <w:tc>
          <w:tcPr>
            <w:tcW w:w="1374" w:type="dxa"/>
          </w:tcPr>
          <w:p w14:paraId="06CDB898" w14:textId="77777777" w:rsidR="00C63634" w:rsidRDefault="00C63634" w:rsidP="00052256">
            <w:pPr>
              <w:pStyle w:val="Sarakstarindkopa"/>
              <w:ind w:left="0"/>
              <w:jc w:val="both"/>
            </w:pPr>
            <w:r>
              <w:t>1.4.2.</w:t>
            </w:r>
          </w:p>
        </w:tc>
        <w:tc>
          <w:tcPr>
            <w:tcW w:w="2355" w:type="dxa"/>
          </w:tcPr>
          <w:p w14:paraId="1D2F668E" w14:textId="77777777" w:rsidR="00C63634" w:rsidRDefault="00C63634" w:rsidP="00052256">
            <w:pPr>
              <w:pStyle w:val="Sarakstarindkopa"/>
              <w:ind w:left="0"/>
              <w:jc w:val="both"/>
            </w:pPr>
            <w:r>
              <w:t>Pusdienas</w:t>
            </w:r>
          </w:p>
        </w:tc>
        <w:tc>
          <w:tcPr>
            <w:tcW w:w="1670" w:type="dxa"/>
          </w:tcPr>
          <w:p w14:paraId="3E7E0611" w14:textId="77777777" w:rsidR="00C63634" w:rsidRPr="006572C4" w:rsidRDefault="00C63634" w:rsidP="00052256">
            <w:pPr>
              <w:jc w:val="center"/>
            </w:pPr>
            <w:r>
              <w:t>0,64</w:t>
            </w:r>
          </w:p>
        </w:tc>
        <w:tc>
          <w:tcPr>
            <w:tcW w:w="1300" w:type="dxa"/>
          </w:tcPr>
          <w:p w14:paraId="03BB81A9" w14:textId="77777777" w:rsidR="00C63634" w:rsidRPr="00A54438" w:rsidRDefault="00C63634" w:rsidP="00052256">
            <w:pPr>
              <w:pStyle w:val="Sarakstarindkopa"/>
              <w:ind w:left="0"/>
              <w:jc w:val="center"/>
            </w:pPr>
            <w:r>
              <w:t>1,22</w:t>
            </w:r>
          </w:p>
        </w:tc>
        <w:tc>
          <w:tcPr>
            <w:tcW w:w="1084" w:type="dxa"/>
          </w:tcPr>
          <w:p w14:paraId="4B69EECF" w14:textId="77777777" w:rsidR="00C63634" w:rsidRPr="00A54438" w:rsidRDefault="00C63634" w:rsidP="00052256">
            <w:pPr>
              <w:pStyle w:val="Sarakstarindkopa"/>
              <w:ind w:left="0"/>
              <w:jc w:val="center"/>
            </w:pPr>
            <w:r>
              <w:t>1,86</w:t>
            </w:r>
          </w:p>
        </w:tc>
        <w:tc>
          <w:tcPr>
            <w:tcW w:w="1148" w:type="dxa"/>
          </w:tcPr>
          <w:p w14:paraId="39FB60CD" w14:textId="77777777" w:rsidR="00C63634" w:rsidRPr="003863E0" w:rsidRDefault="00C63634" w:rsidP="00052256">
            <w:r w:rsidRPr="003863E0">
              <w:t>Nepiemēro</w:t>
            </w:r>
          </w:p>
        </w:tc>
      </w:tr>
      <w:tr w:rsidR="00C63634" w14:paraId="3D1B23C9" w14:textId="77777777" w:rsidTr="00052256">
        <w:tc>
          <w:tcPr>
            <w:tcW w:w="1374" w:type="dxa"/>
          </w:tcPr>
          <w:p w14:paraId="2F97A490" w14:textId="77777777" w:rsidR="00C63634" w:rsidRDefault="00C63634" w:rsidP="00052256">
            <w:pPr>
              <w:pStyle w:val="Sarakstarindkopa"/>
              <w:ind w:left="0"/>
              <w:jc w:val="both"/>
            </w:pPr>
          </w:p>
        </w:tc>
        <w:tc>
          <w:tcPr>
            <w:tcW w:w="2355" w:type="dxa"/>
          </w:tcPr>
          <w:p w14:paraId="6790E4C7" w14:textId="77777777" w:rsidR="00C63634" w:rsidRPr="00DD268F" w:rsidRDefault="00C63634" w:rsidP="00052256">
            <w:pPr>
              <w:pStyle w:val="Sarakstarindkopa"/>
              <w:ind w:left="0"/>
              <w:jc w:val="both"/>
              <w:rPr>
                <w:b/>
              </w:rPr>
            </w:pPr>
            <w:r>
              <w:rPr>
                <w:b/>
              </w:rPr>
              <w:t xml:space="preserve">Kopā </w:t>
            </w:r>
          </w:p>
        </w:tc>
        <w:tc>
          <w:tcPr>
            <w:tcW w:w="1670" w:type="dxa"/>
          </w:tcPr>
          <w:p w14:paraId="3CA59689" w14:textId="77777777" w:rsidR="00C63634" w:rsidRPr="006572C4" w:rsidRDefault="00C63634" w:rsidP="00052256">
            <w:pPr>
              <w:pStyle w:val="Sarakstarindkopa"/>
              <w:ind w:left="0"/>
              <w:jc w:val="center"/>
              <w:rPr>
                <w:b/>
              </w:rPr>
            </w:pPr>
            <w:r>
              <w:rPr>
                <w:b/>
              </w:rPr>
              <w:t>0,64</w:t>
            </w:r>
          </w:p>
        </w:tc>
        <w:tc>
          <w:tcPr>
            <w:tcW w:w="1300" w:type="dxa"/>
          </w:tcPr>
          <w:p w14:paraId="378CE35B" w14:textId="77777777" w:rsidR="00C63634" w:rsidRPr="00A54438" w:rsidRDefault="00C63634" w:rsidP="00052256">
            <w:pPr>
              <w:pStyle w:val="Sarakstarindkopa"/>
              <w:ind w:left="0"/>
              <w:jc w:val="center"/>
              <w:rPr>
                <w:b/>
              </w:rPr>
            </w:pPr>
            <w:r>
              <w:rPr>
                <w:b/>
              </w:rPr>
              <w:t>1,22</w:t>
            </w:r>
          </w:p>
        </w:tc>
        <w:tc>
          <w:tcPr>
            <w:tcW w:w="1084" w:type="dxa"/>
          </w:tcPr>
          <w:p w14:paraId="32FAEEE1" w14:textId="77777777" w:rsidR="00C63634" w:rsidRPr="00A54438" w:rsidRDefault="00C63634" w:rsidP="00052256">
            <w:pPr>
              <w:pStyle w:val="Sarakstarindkopa"/>
              <w:ind w:left="0"/>
              <w:jc w:val="center"/>
              <w:rPr>
                <w:b/>
              </w:rPr>
            </w:pPr>
            <w:r>
              <w:rPr>
                <w:b/>
              </w:rPr>
              <w:t>1,86</w:t>
            </w:r>
          </w:p>
        </w:tc>
        <w:tc>
          <w:tcPr>
            <w:tcW w:w="1148" w:type="dxa"/>
          </w:tcPr>
          <w:p w14:paraId="5FAAF8E4" w14:textId="77777777" w:rsidR="00C63634" w:rsidRDefault="00C63634" w:rsidP="00052256">
            <w:pPr>
              <w:pStyle w:val="Sarakstarindkopa"/>
              <w:ind w:left="0"/>
              <w:jc w:val="both"/>
            </w:pPr>
          </w:p>
        </w:tc>
      </w:tr>
    </w:tbl>
    <w:p w14:paraId="5538B182" w14:textId="77777777" w:rsidR="00C63634" w:rsidRDefault="00C63634" w:rsidP="00C63634">
      <w:pPr>
        <w:pStyle w:val="Sarakstarindkopa"/>
        <w:ind w:left="360"/>
        <w:jc w:val="both"/>
      </w:pPr>
    </w:p>
    <w:p w14:paraId="7AFE99BF" w14:textId="77777777" w:rsidR="00C63634" w:rsidRPr="007C343C" w:rsidRDefault="00C63634" w:rsidP="00C63634">
      <w:pPr>
        <w:pStyle w:val="Sarakstarindkopa"/>
        <w:numPr>
          <w:ilvl w:val="0"/>
          <w:numId w:val="3"/>
        </w:numPr>
        <w:jc w:val="both"/>
        <w:rPr>
          <w:rFonts w:cs="Times New Roman"/>
          <w:szCs w:val="24"/>
        </w:rPr>
      </w:pPr>
      <w:r>
        <w:t>Lēmuma 1.1., 1.2. un 1.3. punktā noteiktajai ēdināšanas pakalpojuma maksai piemērojami Alūksnes novada pašvaldības domes saistošajos noteikumos par ēdināšanas pakalpojuma maksas atvieglojumiem Alūksnes novada pašvaldības izglītības iestādēs noteiktie atvieglojumi.</w:t>
      </w:r>
    </w:p>
    <w:p w14:paraId="145D2635" w14:textId="77777777" w:rsidR="00C63634" w:rsidRPr="00CA6672" w:rsidRDefault="00C63634" w:rsidP="00C63634">
      <w:pPr>
        <w:pStyle w:val="Sarakstarindkopa"/>
        <w:numPr>
          <w:ilvl w:val="0"/>
          <w:numId w:val="3"/>
        </w:numPr>
        <w:jc w:val="both"/>
        <w:rPr>
          <w:rFonts w:cs="Times New Roman"/>
          <w:szCs w:val="24"/>
        </w:rPr>
      </w:pPr>
      <w:r>
        <w:t>Atzīt par spēku zaudējušu Alūksnes novada pašvaldības domes 28.03.2024. lēmumu Nr. 95 “Par ēdināšanas pakalpojuma maksu Alūksnes pirmsskolas izglītības iestādē “Sprīdītis”” (sēdes protokols Nr. 4, 26. punkts).</w:t>
      </w:r>
    </w:p>
    <w:p w14:paraId="548F6F6F" w14:textId="77777777" w:rsidR="00C63634" w:rsidRPr="00961FE2" w:rsidRDefault="00C63634" w:rsidP="00C63634">
      <w:pPr>
        <w:pStyle w:val="Sarakstarindkopa"/>
        <w:numPr>
          <w:ilvl w:val="0"/>
          <w:numId w:val="3"/>
        </w:numPr>
        <w:jc w:val="both"/>
        <w:rPr>
          <w:rFonts w:cs="Times New Roman"/>
          <w:szCs w:val="24"/>
        </w:rPr>
      </w:pPr>
      <w:r>
        <w:t>Lēmums stājās spēkā 2025. gada 1. martā.</w:t>
      </w:r>
    </w:p>
    <w:p w14:paraId="6B8EB2CF" w14:textId="77777777" w:rsidR="007D4FE7" w:rsidRDefault="007D4FE7"/>
    <w:sectPr w:rsidR="007D4FE7" w:rsidSect="004F7DD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43DF"/>
    <w:multiLevelType w:val="multilevel"/>
    <w:tmpl w:val="7460EC8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AB7B33"/>
    <w:multiLevelType w:val="multilevel"/>
    <w:tmpl w:val="329E4E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24B1F74"/>
    <w:multiLevelType w:val="hybridMultilevel"/>
    <w:tmpl w:val="E0D855D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98232979">
    <w:abstractNumId w:val="2"/>
  </w:num>
  <w:num w:numId="2" w16cid:durableId="1369405908">
    <w:abstractNumId w:val="1"/>
  </w:num>
  <w:num w:numId="3" w16cid:durableId="49312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634"/>
    <w:rsid w:val="004F7DD7"/>
    <w:rsid w:val="007D4FE7"/>
    <w:rsid w:val="00C636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2CEE2"/>
  <w15:chartTrackingRefBased/>
  <w15:docId w15:val="{3C9DFE53-29B7-4D36-90BB-BC1F9F699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3634"/>
    <w:rPr>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63634"/>
    <w:pPr>
      <w:ind w:left="720"/>
      <w:contextualSpacing/>
    </w:pPr>
  </w:style>
  <w:style w:type="table" w:styleId="Reatabula">
    <w:name w:val="Table Grid"/>
    <w:basedOn w:val="Parastatabula"/>
    <w:uiPriority w:val="39"/>
    <w:rsid w:val="00C63634"/>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1501</Words>
  <Characters>856</Characters>
  <Application>Microsoft Office Word</Application>
  <DocSecurity>0</DocSecurity>
  <Lines>7</Lines>
  <Paragraphs>4</Paragraphs>
  <ScaleCrop>false</ScaleCrop>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2025-02-18T06:43:00Z</dcterms:created>
  <dcterms:modified xsi:type="dcterms:W3CDTF">2025-02-18T06:44:00Z</dcterms:modified>
</cp:coreProperties>
</file>