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6E3" w:rsidRPr="003E36E3" w:rsidRDefault="003E36E3" w:rsidP="003E36E3">
      <w:pPr>
        <w:pStyle w:val="Virsraksts2"/>
        <w:spacing w:after="266" w:line="240" w:lineRule="auto"/>
        <w:ind w:left="3515" w:right="0" w:hanging="3328"/>
        <w:contextualSpacing/>
        <w:jc w:val="right"/>
        <w:rPr>
          <w:rFonts w:ascii="Times New Roman" w:hAnsi="Times New Roman" w:cs="Times New Roman"/>
          <w:i/>
          <w:iCs/>
          <w:color w:val="auto"/>
          <w:sz w:val="24"/>
          <w:szCs w:val="20"/>
        </w:rPr>
      </w:pPr>
      <w:r w:rsidRPr="003E36E3">
        <w:rPr>
          <w:rFonts w:ascii="Times New Roman" w:hAnsi="Times New Roman" w:cs="Times New Roman"/>
          <w:i/>
          <w:iCs/>
          <w:color w:val="auto"/>
          <w:sz w:val="24"/>
          <w:szCs w:val="20"/>
        </w:rPr>
        <w:t>LĒMUMA PROJEKTS</w:t>
      </w:r>
    </w:p>
    <w:p w:rsidR="003E36E3" w:rsidRPr="003E36E3" w:rsidRDefault="003E36E3" w:rsidP="003E36E3">
      <w:pPr>
        <w:pStyle w:val="Virsraksts2"/>
        <w:spacing w:after="266" w:line="238" w:lineRule="auto"/>
        <w:ind w:left="3515" w:right="0" w:hanging="3328"/>
        <w:contextualSpacing/>
        <w:rPr>
          <w:rFonts w:ascii="Times New Roman" w:hAnsi="Times New Roman" w:cs="Times New Roman"/>
          <w:b/>
          <w:bCs/>
          <w:color w:val="auto"/>
          <w:sz w:val="24"/>
          <w:szCs w:val="20"/>
        </w:rPr>
      </w:pPr>
    </w:p>
    <w:p w:rsidR="003E36E3" w:rsidRPr="003E36E3" w:rsidRDefault="003E36E3" w:rsidP="003E36E3">
      <w:pPr>
        <w:pStyle w:val="Virsraksts2"/>
        <w:spacing w:after="266" w:line="238" w:lineRule="auto"/>
        <w:ind w:left="142" w:right="0" w:firstLine="45"/>
        <w:contextualSpacing/>
        <w:jc w:val="center"/>
        <w:rPr>
          <w:rFonts w:ascii="Times New Roman" w:hAnsi="Times New Roman" w:cs="Times New Roman"/>
          <w:b/>
          <w:bCs/>
          <w:color w:val="auto"/>
          <w:sz w:val="24"/>
          <w:szCs w:val="20"/>
        </w:rPr>
      </w:pPr>
      <w:bookmarkStart w:id="0" w:name="_Hlk213311112"/>
      <w:r w:rsidRPr="003E36E3">
        <w:rPr>
          <w:rFonts w:ascii="Times New Roman" w:hAnsi="Times New Roman" w:cs="Times New Roman"/>
          <w:b/>
          <w:bCs/>
          <w:color w:val="auto"/>
          <w:sz w:val="24"/>
          <w:szCs w:val="20"/>
        </w:rPr>
        <w:t>Par tiešo līdzdalību sabiedrībā ar ierobežotu atbildību</w:t>
      </w:r>
    </w:p>
    <w:p w:rsidR="003E36E3" w:rsidRPr="003E36E3" w:rsidRDefault="003E36E3" w:rsidP="003E36E3">
      <w:pPr>
        <w:pStyle w:val="Virsraksts2"/>
        <w:spacing w:after="266" w:line="238" w:lineRule="auto"/>
        <w:ind w:left="142" w:right="0" w:firstLine="45"/>
        <w:contextualSpacing/>
        <w:jc w:val="center"/>
        <w:rPr>
          <w:rFonts w:ascii="Times New Roman" w:hAnsi="Times New Roman" w:cs="Times New Roman"/>
          <w:b/>
          <w:bCs/>
          <w:color w:val="auto"/>
          <w:sz w:val="24"/>
          <w:szCs w:val="20"/>
        </w:rPr>
      </w:pPr>
      <w:r w:rsidRPr="003E36E3">
        <w:rPr>
          <w:rFonts w:ascii="Times New Roman" w:hAnsi="Times New Roman" w:cs="Times New Roman"/>
          <w:b/>
          <w:bCs/>
          <w:color w:val="auto"/>
          <w:sz w:val="24"/>
          <w:szCs w:val="20"/>
        </w:rPr>
        <w:t>“Alūksnes enerģija”</w:t>
      </w:r>
    </w:p>
    <w:p w:rsidR="003E36E3" w:rsidRDefault="003E36E3" w:rsidP="003E36E3">
      <w:pPr>
        <w:ind w:left="33" w:right="19" w:firstLine="534"/>
        <w:rPr>
          <w:sz w:val="24"/>
          <w:szCs w:val="24"/>
        </w:rPr>
      </w:pPr>
      <w:r>
        <w:rPr>
          <w:sz w:val="24"/>
          <w:szCs w:val="24"/>
        </w:rPr>
        <w:t xml:space="preserve">Publiskas personas kapitāla daļu un kapitālsabiedrību pārvaldības likuma (turpmāk – Kapitālsabiedrību pārvaldības likums) 7.panta pirmā daļa noteic, ka publiskai personai ir pienākums ne retāk kā reizi piecos gados pārvērtēt katru tās tiešo līdzdalību kapitālsabiedrībā un atbilstību likuma 4.panta nosacījumiem. </w:t>
      </w:r>
    </w:p>
    <w:p w:rsidR="003E36E3" w:rsidRDefault="003E36E3" w:rsidP="003E36E3">
      <w:pPr>
        <w:ind w:left="33" w:right="19" w:firstLine="534"/>
        <w:rPr>
          <w:sz w:val="24"/>
          <w:szCs w:val="24"/>
        </w:rPr>
      </w:pPr>
      <w:r>
        <w:rPr>
          <w:sz w:val="24"/>
          <w:szCs w:val="24"/>
        </w:rPr>
        <w:t>Kapitālsabiedrību pārvaldības likuma 7.panta otrā daļa noteic, ka lēmumu par publiskas personas līdzdalības saglabāšanu kapitālsabiedrībās pieņem attiecīgās publiskās personas augstākā lēmējinstitūcija. Lēmumā ietver vērtējumu attiecībā uz atbilstību likuma 4.panta nosacījumiem un vispārējos stratēģiskos mērķus.</w:t>
      </w:r>
    </w:p>
    <w:p w:rsidR="003E36E3" w:rsidRDefault="003E36E3" w:rsidP="003E36E3">
      <w:pPr>
        <w:ind w:left="33" w:right="19" w:firstLine="534"/>
        <w:rPr>
          <w:sz w:val="24"/>
          <w:szCs w:val="24"/>
        </w:rPr>
      </w:pPr>
      <w:r>
        <w:rPr>
          <w:sz w:val="24"/>
          <w:szCs w:val="24"/>
        </w:rPr>
        <w:t xml:space="preserve">Ar Alūksnes novada pašvaldības domes 2020.gada 26.novembra lēmumu Nr. 300 “Par tiešo līdzdalību sabiedrībā ar ierobežotu atbildību “Alūksnes enerģija”” atzīts, ka sabiedrības ar ierobežotu atbildību “Alūksnes enerģija” (turpmāk – SIA “Alūksnes enerģija”) darbība atbilst Kapitālsabiedrību pārvaldības likuma 4.panta nosacījumiem un saglabāta Alūksnes novada pašvaldības tiešā līdzdalība SIA “Alūksnes enerģija”, nosakot vispārējo stratēģisko mērķi – nodrošināt kvalitatīvu, drošu un nepārtrauktu siltumapgādes pakalpojumu Alūksnes novada Alūksnes pilsētā un Alūksnes novada Mālupes un Jaunlaicenes pagastos. </w:t>
      </w:r>
    </w:p>
    <w:p w:rsidR="003E36E3" w:rsidRDefault="003E36E3" w:rsidP="003E36E3">
      <w:pPr>
        <w:ind w:right="19" w:firstLine="567"/>
        <w:rPr>
          <w:sz w:val="24"/>
          <w:szCs w:val="24"/>
        </w:rPr>
      </w:pPr>
      <w:r>
        <w:rPr>
          <w:sz w:val="24"/>
          <w:szCs w:val="24"/>
        </w:rPr>
        <w:t>Kapitālsabiedrību pārvaldības likuma 4.panta pirmā daļa noteic, ka publiska persona drīkst iegūt un saglabāt līdzdalību kapitālsabiedrībā atbilstoši Valsts pārvaldes iekārtas likuma (turpmāk – VPIL)  88.pantam.</w:t>
      </w:r>
    </w:p>
    <w:p w:rsidR="003E36E3" w:rsidRDefault="003E36E3" w:rsidP="003E36E3">
      <w:pPr>
        <w:ind w:right="19" w:firstLine="567"/>
        <w:rPr>
          <w:sz w:val="24"/>
          <w:szCs w:val="24"/>
        </w:rPr>
      </w:pPr>
      <w:r>
        <w:rPr>
          <w:sz w:val="24"/>
          <w:szCs w:val="24"/>
        </w:rPr>
        <w:t>VPIL 40.panta pirmā daļa noteic, ka publiska persona var deleģēt privātpersonai  un citai publiskai personai (turpmāk – pilnvarotā persona) pārvaldes uzdevumu, ja pilnvarotā persona attiecīgo uzdevumu var veikt efektīvāk. Savukārt VPIL 41.panta pirmā daļa noteic, ka publiska persona var deleģēt pārvaldes uzdevumus, kuru izpilde ietilpst šīs publiskās personas vai tās iestādes kompetencē. Deleģējot pārvaldes uzdevumus, par funkcijas izpildi kopumā atbild attiecīgā publiskā persona.</w:t>
      </w:r>
    </w:p>
    <w:p w:rsidR="003E36E3" w:rsidRPr="00115948" w:rsidRDefault="003E36E3" w:rsidP="003E36E3">
      <w:pPr>
        <w:ind w:right="19" w:firstLine="567"/>
        <w:rPr>
          <w:sz w:val="24"/>
          <w:szCs w:val="24"/>
        </w:rPr>
      </w:pPr>
      <w:r w:rsidRPr="00115948">
        <w:rPr>
          <w:sz w:val="24"/>
          <w:szCs w:val="24"/>
        </w:rPr>
        <w:t xml:space="preserve">Pamatojoties uz </w:t>
      </w:r>
      <w:r>
        <w:rPr>
          <w:sz w:val="24"/>
          <w:szCs w:val="24"/>
        </w:rPr>
        <w:t xml:space="preserve">2018.gada 11.aprīlī </w:t>
      </w:r>
      <w:r w:rsidRPr="00115948">
        <w:rPr>
          <w:sz w:val="24"/>
          <w:szCs w:val="24"/>
        </w:rPr>
        <w:t>noslēgto līgumu par Alūksnes novada pašvaldības autonomās funkcijas – siltumapgādes sabiedriskā pakalpojuma sniegšanas organizēšanas deleģēšanu SIA “Alūksnes enerģija”</w:t>
      </w:r>
      <w:r>
        <w:rPr>
          <w:sz w:val="24"/>
          <w:szCs w:val="24"/>
        </w:rPr>
        <w:t xml:space="preserve">, kapitālsabiedrībai </w:t>
      </w:r>
      <w:r w:rsidRPr="00CF64CE">
        <w:rPr>
          <w:sz w:val="24"/>
          <w:szCs w:val="24"/>
        </w:rPr>
        <w:t>ir īpašas tiesības</w:t>
      </w:r>
      <w:r w:rsidRPr="00115948">
        <w:rPr>
          <w:sz w:val="24"/>
          <w:szCs w:val="24"/>
        </w:rPr>
        <w:t xml:space="preserve"> sniegt centralizētās siltumapgādes pakalpojumus (siltumenerģijas ražošana, siltumenerģijas novadīšana līdz lietotājam) Alūksnes novada Alūksnes pilsētas, kā arī Alūksnes novada Jaunlaicenes un Mālupes pagastu administratīvajās teritorijās esošajām fiziskām un juridiskām personām, valsts un pašvaldības iestādēm un to struktūrvienībām</w:t>
      </w:r>
      <w:r>
        <w:rPr>
          <w:sz w:val="24"/>
          <w:szCs w:val="24"/>
        </w:rPr>
        <w:t>.</w:t>
      </w:r>
    </w:p>
    <w:p w:rsidR="003E36E3" w:rsidRDefault="003E36E3" w:rsidP="003E36E3">
      <w:pPr>
        <w:ind w:right="19" w:firstLine="567"/>
        <w:rPr>
          <w:sz w:val="24"/>
          <w:szCs w:val="24"/>
        </w:rPr>
      </w:pPr>
      <w:r>
        <w:rPr>
          <w:sz w:val="24"/>
          <w:szCs w:val="24"/>
        </w:rPr>
        <w:t xml:space="preserve">SIA “Alūksnes enerģija” 100% kapitāla daļu turētāja ir Alūksnes novada pašvaldība. </w:t>
      </w:r>
    </w:p>
    <w:p w:rsidR="003E36E3" w:rsidRDefault="003E36E3" w:rsidP="003E36E3">
      <w:pPr>
        <w:ind w:right="19" w:firstLine="567"/>
        <w:rPr>
          <w:sz w:val="24"/>
          <w:szCs w:val="24"/>
        </w:rPr>
      </w:pPr>
      <w:r>
        <w:rPr>
          <w:sz w:val="24"/>
          <w:szCs w:val="24"/>
        </w:rPr>
        <w:t xml:space="preserve">SIA “Alūksnes enerģija” pamatdarbība ir siltumenerģijas ražošana, pārvade un tirdzniecība. </w:t>
      </w:r>
    </w:p>
    <w:p w:rsidR="003E36E3" w:rsidRDefault="003E36E3" w:rsidP="003E36E3">
      <w:pPr>
        <w:ind w:right="19" w:firstLine="567"/>
        <w:rPr>
          <w:sz w:val="24"/>
          <w:szCs w:val="24"/>
        </w:rPr>
      </w:pPr>
      <w:r>
        <w:rPr>
          <w:sz w:val="24"/>
          <w:szCs w:val="24"/>
        </w:rPr>
        <w:t>Sabiedrisko pakalpojumu regulēšanas komisijas Siltumenerģijas tirgotāju reģistra informācija liecina, ka Alūksnes novadā ir viens komersants, kas veic siltumenerģijas pakalpojumu sniegšanu, un tas ir SIA “Alūksnes enerģija”.</w:t>
      </w:r>
      <w:r>
        <w:rPr>
          <w:sz w:val="24"/>
          <w:szCs w:val="24"/>
        </w:rPr>
        <w:tab/>
      </w:r>
    </w:p>
    <w:p w:rsidR="003E36E3" w:rsidRPr="00E532F4" w:rsidRDefault="003E36E3" w:rsidP="003E36E3">
      <w:pPr>
        <w:spacing w:after="160" w:line="259" w:lineRule="auto"/>
        <w:ind w:right="0" w:firstLine="360"/>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t xml:space="preserve">Priekšnoteikumi publiskas personas līdzdalībai kapitālsabiedrībā ir noteikti </w:t>
      </w:r>
      <w:r>
        <w:rPr>
          <w:rFonts w:eastAsiaTheme="minorHAnsi" w:cstheme="minorBidi"/>
          <w:color w:val="auto"/>
          <w:sz w:val="24"/>
          <w:szCs w:val="24"/>
          <w:lang w:eastAsia="en-US"/>
        </w:rPr>
        <w:t xml:space="preserve">VPIL </w:t>
      </w:r>
      <w:r w:rsidRPr="00E532F4">
        <w:rPr>
          <w:rFonts w:eastAsiaTheme="minorHAnsi" w:cstheme="minorBidi"/>
          <w:color w:val="auto"/>
          <w:sz w:val="24"/>
          <w:szCs w:val="24"/>
          <w:lang w:eastAsia="en-US"/>
        </w:rPr>
        <w:t>88.panta pirmajā daļā, kuriem pastāvot</w:t>
      </w:r>
      <w:r>
        <w:rPr>
          <w:rFonts w:eastAsiaTheme="minorHAnsi" w:cstheme="minorBidi"/>
          <w:color w:val="auto"/>
          <w:sz w:val="24"/>
          <w:szCs w:val="24"/>
          <w:lang w:eastAsia="en-US"/>
        </w:rPr>
        <w:t xml:space="preserve"> (jāīstenojas vismaz vienam)</w:t>
      </w:r>
      <w:r w:rsidRPr="00E532F4">
        <w:rPr>
          <w:rFonts w:eastAsiaTheme="minorHAnsi" w:cstheme="minorBidi"/>
          <w:color w:val="auto"/>
          <w:sz w:val="24"/>
          <w:szCs w:val="24"/>
          <w:lang w:eastAsia="en-US"/>
        </w:rPr>
        <w:t>, publiska persona savu funkciju efektīvai izpildei var dibināt kapitālsabiedrību vai iegūt līdzdalību esošā kapitālsabiedrībā</w:t>
      </w:r>
      <w:r>
        <w:rPr>
          <w:rFonts w:eastAsiaTheme="minorHAnsi" w:cstheme="minorBidi"/>
          <w:color w:val="auto"/>
          <w:sz w:val="24"/>
          <w:szCs w:val="24"/>
          <w:lang w:eastAsia="en-US"/>
        </w:rPr>
        <w:t>:</w:t>
      </w:r>
    </w:p>
    <w:p w:rsidR="003E36E3" w:rsidRPr="00E532F4" w:rsidRDefault="003E36E3" w:rsidP="003E36E3">
      <w:pPr>
        <w:numPr>
          <w:ilvl w:val="0"/>
          <w:numId w:val="2"/>
        </w:numPr>
        <w:spacing w:after="160" w:line="259" w:lineRule="auto"/>
        <w:ind w:right="0"/>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t>tiek novērsta tirgus nepilnība – situācija, kad tirgus nav spējīgs nodrošināt sabiedrības interešu īstenošanu attiecīgajā jomā;</w:t>
      </w:r>
    </w:p>
    <w:p w:rsidR="003E36E3" w:rsidRPr="00E532F4" w:rsidRDefault="003E36E3" w:rsidP="003E36E3">
      <w:pPr>
        <w:numPr>
          <w:ilvl w:val="0"/>
          <w:numId w:val="2"/>
        </w:numPr>
        <w:spacing w:after="160" w:line="259" w:lineRule="auto"/>
        <w:ind w:right="0"/>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t xml:space="preserve">publiskas personas kapitālsabiedrības vai publisku personu kontrolētas kapitālsabiedrības darbības rezultātā tiek radītas preces vai pakalpojumi, kas ir </w:t>
      </w:r>
      <w:r w:rsidRPr="00E532F4">
        <w:rPr>
          <w:rFonts w:eastAsiaTheme="minorHAnsi" w:cstheme="minorBidi"/>
          <w:color w:val="auto"/>
          <w:sz w:val="24"/>
          <w:szCs w:val="24"/>
          <w:lang w:eastAsia="en-US"/>
        </w:rPr>
        <w:lastRenderedPageBreak/>
        <w:t>stratēģiski svarīgi valsts vai pašvaldības administratīvās teritorijas attīstībai vai valsts drošībai;</w:t>
      </w:r>
    </w:p>
    <w:p w:rsidR="003E36E3" w:rsidRPr="005F0EFA" w:rsidRDefault="003E36E3" w:rsidP="003E36E3">
      <w:pPr>
        <w:numPr>
          <w:ilvl w:val="0"/>
          <w:numId w:val="2"/>
        </w:numPr>
        <w:spacing w:after="160" w:line="259" w:lineRule="auto"/>
        <w:ind w:right="0"/>
        <w:contextualSpacing/>
        <w:rPr>
          <w:rFonts w:eastAsiaTheme="minorHAnsi" w:cstheme="minorBidi"/>
          <w:color w:val="auto"/>
          <w:sz w:val="24"/>
          <w:szCs w:val="24"/>
          <w:lang w:eastAsia="en-US"/>
        </w:rPr>
      </w:pPr>
      <w:r w:rsidRPr="00E532F4">
        <w:rPr>
          <w:rFonts w:eastAsiaTheme="minorHAnsi" w:cstheme="minorBidi"/>
          <w:color w:val="auto"/>
          <w:sz w:val="24"/>
          <w:szCs w:val="24"/>
          <w:lang w:eastAsia="en-US"/>
        </w:rPr>
        <w:t>tiek pārvaldīti tādi īpašumi, kas ir stratēģiski svarīgi valsts vai pašvaldības administratīvās teritorijas attīstībai vai valsts drošībai.</w:t>
      </w:r>
    </w:p>
    <w:p w:rsidR="003E36E3" w:rsidRDefault="003E36E3" w:rsidP="003E36E3">
      <w:pPr>
        <w:ind w:right="19" w:firstLine="364"/>
        <w:rPr>
          <w:sz w:val="24"/>
          <w:szCs w:val="24"/>
        </w:rPr>
      </w:pPr>
      <w:r>
        <w:rPr>
          <w:sz w:val="24"/>
          <w:szCs w:val="24"/>
        </w:rPr>
        <w:t xml:space="preserve">Atbilstoši VPIL 88.panta otrajai daļai, kas noteic, ka publiska persona, veicot </w:t>
      </w:r>
      <w:proofErr w:type="spellStart"/>
      <w:r>
        <w:rPr>
          <w:sz w:val="24"/>
          <w:szCs w:val="24"/>
        </w:rPr>
        <w:t>izvērtējumu</w:t>
      </w:r>
      <w:proofErr w:type="spellEnd"/>
      <w:r>
        <w:rPr>
          <w:sz w:val="24"/>
          <w:szCs w:val="24"/>
        </w:rPr>
        <w:t xml:space="preserve">, konsultējas ar kompetentajām institūcijām konkurences aizsardzības jomā un komersantus pārstāvošām biedrībām vai nodibinājumiem, kā arī ievēro komercdarbības atbalsta kontroles jomu regulējošo normatīvo aktu prasības, Alūksnes novada pašvaldība lūdza sniegt viedokli biedrībai “Latvijas </w:t>
      </w:r>
      <w:proofErr w:type="spellStart"/>
      <w:r>
        <w:rPr>
          <w:sz w:val="24"/>
          <w:szCs w:val="24"/>
        </w:rPr>
        <w:t>siltumuzņēmumu</w:t>
      </w:r>
      <w:proofErr w:type="spellEnd"/>
      <w:r>
        <w:rPr>
          <w:sz w:val="24"/>
          <w:szCs w:val="24"/>
        </w:rPr>
        <w:t xml:space="preserve"> asociācija”, biedrībai “Latvijas Būvkomersantu apvienība”, biedrībai “ Latvijas Tirdzniecības un rūpniecības kamera”,  kā arī konsultējusies ar Konkurences padomi.</w:t>
      </w:r>
    </w:p>
    <w:p w:rsidR="003E36E3" w:rsidRDefault="003E36E3" w:rsidP="003E36E3">
      <w:pPr>
        <w:ind w:right="19" w:firstLine="364"/>
        <w:rPr>
          <w:sz w:val="24"/>
          <w:szCs w:val="24"/>
        </w:rPr>
      </w:pPr>
      <w:r>
        <w:rPr>
          <w:sz w:val="24"/>
          <w:szCs w:val="24"/>
        </w:rPr>
        <w:t xml:space="preserve">Konkurences padomes ieskatā SIA “Alūksnes enerģija” darbība, sniedzot siltumapgādes pakalpojumus vērtējama kā atbilstoša VPIL 88.panta pirmās daļas 1., 2. un 3.punktam. Proti, tiek sniegti stratēģiski svarīgi pakalpojumi (daļējas) tirgus nepilnības apstākļos, kā arī tiek pārvaldīti stratēģiski svarīgi īpašumi – siltumapgādes infrastruktūra. Konkurences padomes ieskatā, </w:t>
      </w:r>
      <w:proofErr w:type="spellStart"/>
      <w:r>
        <w:rPr>
          <w:sz w:val="24"/>
          <w:szCs w:val="24"/>
        </w:rPr>
        <w:t>inženierobjektu</w:t>
      </w:r>
      <w:proofErr w:type="spellEnd"/>
      <w:r>
        <w:rPr>
          <w:sz w:val="24"/>
          <w:szCs w:val="24"/>
        </w:rPr>
        <w:t xml:space="preserve"> būvniecība un iekārtu uzstādīšana nav stratēģiski svarīgi pakalpojumi, ko privātie komersanti nebūtu spējīgi nodrošināt. Ņemot vērā, ka </w:t>
      </w:r>
      <w:proofErr w:type="spellStart"/>
      <w:r>
        <w:rPr>
          <w:sz w:val="24"/>
          <w:szCs w:val="24"/>
        </w:rPr>
        <w:t>inženierobjektu</w:t>
      </w:r>
      <w:proofErr w:type="spellEnd"/>
      <w:r>
        <w:rPr>
          <w:sz w:val="24"/>
          <w:szCs w:val="24"/>
        </w:rPr>
        <w:t xml:space="preserve"> būvniecības un iekārtu uzstādīšanas pakalpojumu tirgos ir konstatējami privātie tirgus dalībnieki, kas darbojas Alūksnes novadā, kapitālsabiedrībai būtu jāvērtē nepieciešamība sniegt šos pakalpojumus, t.sk. iespējamie riski, ja šie pakalpojumi tiktu nodoti privātajam sektoram, kā arī jāvērtē iespējas iesaistīt privātos pakalpojumu sniedzējus </w:t>
      </w:r>
      <w:proofErr w:type="spellStart"/>
      <w:r>
        <w:rPr>
          <w:sz w:val="24"/>
          <w:szCs w:val="24"/>
        </w:rPr>
        <w:t>inženierobjektu</w:t>
      </w:r>
      <w:proofErr w:type="spellEnd"/>
      <w:r>
        <w:rPr>
          <w:sz w:val="24"/>
          <w:szCs w:val="24"/>
        </w:rPr>
        <w:t xml:space="preserve"> būvniecībā un iekārtu uzstādīšanā kapitālsabiedrības katlu mājās vai citās siltumapgādes infrastruktūras vietās, pakāpeniski atsakoties no šo pakalpojumu sniegšanas.</w:t>
      </w:r>
    </w:p>
    <w:p w:rsidR="003E36E3" w:rsidRDefault="003E36E3" w:rsidP="003E36E3">
      <w:pPr>
        <w:ind w:right="19" w:firstLine="364"/>
        <w:rPr>
          <w:sz w:val="24"/>
          <w:szCs w:val="24"/>
        </w:rPr>
      </w:pPr>
      <w:r>
        <w:rPr>
          <w:sz w:val="24"/>
          <w:szCs w:val="24"/>
        </w:rPr>
        <w:t>Siltumenerģijas ražošana, pārvade un tirdzniecība ir stratēģiski svarīga nozare, jo nodrošina sabiedrisko pakalpojumu – centralizētu siltumapgādi, ko regulē speciāli normatīvie akti, nosakot īpašas prasības pakalpojuma sniegšanai. Saskaņā ar likuma “Par sabiedrisko pakalpojumu regulatoriem” 4.panta pirmo daļu, sabiedrisko pakalpojumu sniedzējs ir tāds komersants, kurš sniedz pakalpojumus noteiktā teritorijā un kura darbība sabiedrisko pakalpojumu sniegšanā tiek regulēta ar šo likumu. SIA “Alūksnes enerģija” siltumenerģijas tarifs tiek apstiprināts Sabiedrisko pakalpojumu regulēšanas komisijā.</w:t>
      </w:r>
    </w:p>
    <w:p w:rsidR="003E36E3" w:rsidRDefault="003E36E3" w:rsidP="003E36E3">
      <w:pPr>
        <w:ind w:right="19" w:firstLine="364"/>
        <w:rPr>
          <w:sz w:val="24"/>
          <w:szCs w:val="24"/>
        </w:rPr>
      </w:pPr>
      <w:r>
        <w:rPr>
          <w:sz w:val="24"/>
          <w:szCs w:val="24"/>
        </w:rPr>
        <w:t>Saskaņā ar Enerģētikas likumu, energoapgādes komersants ir licencēts komersants, kas nodarbojas ar energoapgādi. SIA “Alūksnes enerģija” savu darbību veic saskaņā ar Sabiedrisko pakalpojumu regulēšanas komisijas izsniegto siltumenerģijas pārvades un sadales licenci Nr. E23059/2, kas ir spēkā līdz 2037.gada 13.oktobrim.</w:t>
      </w:r>
    </w:p>
    <w:p w:rsidR="003E36E3" w:rsidRPr="002B710D" w:rsidRDefault="003E36E3" w:rsidP="003E36E3">
      <w:pPr>
        <w:ind w:right="19" w:firstLine="364"/>
        <w:rPr>
          <w:sz w:val="24"/>
          <w:szCs w:val="24"/>
        </w:rPr>
      </w:pPr>
      <w:r>
        <w:rPr>
          <w:sz w:val="24"/>
          <w:szCs w:val="24"/>
        </w:rPr>
        <w:t>SIA “Alūksnes enerģija”</w:t>
      </w:r>
      <w:r w:rsidRPr="002B710D">
        <w:rPr>
          <w:sz w:val="24"/>
          <w:szCs w:val="24"/>
        </w:rPr>
        <w:t xml:space="preserve"> uztur siltumenerģijas pārvades un sadales veikšanai nepieciešamos objektus, nodrošina nepārtrauktu</w:t>
      </w:r>
      <w:r>
        <w:rPr>
          <w:sz w:val="24"/>
          <w:szCs w:val="24"/>
        </w:rPr>
        <w:t xml:space="preserve"> </w:t>
      </w:r>
      <w:r w:rsidRPr="002B710D">
        <w:rPr>
          <w:sz w:val="24"/>
          <w:szCs w:val="24"/>
        </w:rPr>
        <w:t xml:space="preserve">pakalpojuma sniegšanu, </w:t>
      </w:r>
      <w:r>
        <w:rPr>
          <w:sz w:val="24"/>
          <w:szCs w:val="24"/>
        </w:rPr>
        <w:t xml:space="preserve">normatīvo aktu prasībām atbilstošu pakalpojuma kvalitāti, </w:t>
      </w:r>
      <w:r w:rsidRPr="002B710D">
        <w:rPr>
          <w:sz w:val="24"/>
          <w:szCs w:val="24"/>
        </w:rPr>
        <w:t>pakalpojumu drošības prasību ievērošanu un darbinieku kvalifikācijas atbilstību</w:t>
      </w:r>
      <w:r>
        <w:rPr>
          <w:sz w:val="24"/>
          <w:szCs w:val="24"/>
        </w:rPr>
        <w:t>.</w:t>
      </w:r>
    </w:p>
    <w:p w:rsidR="003E36E3" w:rsidRDefault="003E36E3" w:rsidP="003E36E3">
      <w:pPr>
        <w:ind w:right="19" w:firstLine="364"/>
        <w:rPr>
          <w:sz w:val="24"/>
          <w:szCs w:val="24"/>
        </w:rPr>
      </w:pPr>
      <w:r>
        <w:rPr>
          <w:sz w:val="24"/>
          <w:szCs w:val="24"/>
        </w:rPr>
        <w:t>Pašvaldību likuma 10.panta pirmās daļas 9. punkts noteic, ka domes kompetencē ir likumā noteiktajā kārtībā izveidot, reorganizēt un likvidēt pašvaldības kapitālsabiedrības un nodibinājumus, kā arī lemt par dalību kapitālsabiedrībās, biedrībās un nodibinājumos.</w:t>
      </w:r>
    </w:p>
    <w:p w:rsidR="003E36E3" w:rsidRPr="00821B03" w:rsidRDefault="003E36E3" w:rsidP="003E36E3">
      <w:pPr>
        <w:spacing w:after="160" w:line="259" w:lineRule="auto"/>
        <w:ind w:right="0" w:firstLine="364"/>
        <w:contextualSpacing/>
        <w:rPr>
          <w:rFonts w:eastAsiaTheme="minorHAnsi" w:cstheme="minorBidi"/>
          <w:color w:val="auto"/>
          <w:sz w:val="24"/>
          <w:lang w:eastAsia="en-US"/>
        </w:rPr>
      </w:pPr>
      <w:r>
        <w:rPr>
          <w:rFonts w:eastAsiaTheme="minorHAnsi" w:cstheme="minorBidi"/>
          <w:color w:val="auto"/>
          <w:sz w:val="24"/>
          <w:lang w:eastAsia="en-US"/>
        </w:rPr>
        <w:t>Kapitālsabiedrību pārvaldības l</w:t>
      </w:r>
      <w:r w:rsidRPr="00821B03">
        <w:rPr>
          <w:rFonts w:eastAsiaTheme="minorHAnsi" w:cstheme="minorBidi"/>
          <w:color w:val="auto"/>
          <w:sz w:val="24"/>
          <w:lang w:eastAsia="en-US"/>
        </w:rPr>
        <w:t>ikuma 1.panta pirmās daļas 18.punkt</w:t>
      </w:r>
      <w:r>
        <w:rPr>
          <w:rFonts w:eastAsiaTheme="minorHAnsi" w:cstheme="minorBidi"/>
          <w:color w:val="auto"/>
          <w:sz w:val="24"/>
          <w:lang w:eastAsia="en-US"/>
        </w:rPr>
        <w:t>s noteic</w:t>
      </w:r>
      <w:r w:rsidRPr="00821B03">
        <w:rPr>
          <w:rFonts w:eastAsiaTheme="minorHAnsi" w:cstheme="minorBidi"/>
          <w:color w:val="auto"/>
          <w:sz w:val="24"/>
          <w:lang w:eastAsia="en-US"/>
        </w:rPr>
        <w:t>,</w:t>
      </w:r>
      <w:r>
        <w:rPr>
          <w:rFonts w:eastAsiaTheme="minorHAnsi" w:cstheme="minorBidi"/>
          <w:color w:val="auto"/>
          <w:sz w:val="24"/>
          <w:lang w:eastAsia="en-US"/>
        </w:rPr>
        <w:t xml:space="preserve"> ka</w:t>
      </w:r>
      <w:r w:rsidRPr="00821B03">
        <w:rPr>
          <w:rFonts w:eastAsiaTheme="minorHAnsi" w:cstheme="minorBidi"/>
          <w:color w:val="auto"/>
          <w:sz w:val="24"/>
          <w:lang w:eastAsia="en-US"/>
        </w:rPr>
        <w:t xml:space="preserve"> kapitālsabiedrības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p>
    <w:p w:rsidR="003E36E3" w:rsidRPr="00821B03" w:rsidRDefault="003E36E3" w:rsidP="003E36E3">
      <w:pPr>
        <w:spacing w:after="160" w:line="259" w:lineRule="auto"/>
        <w:ind w:right="0" w:firstLine="364"/>
        <w:contextualSpacing/>
        <w:rPr>
          <w:rFonts w:eastAsiaTheme="minorHAnsi" w:cstheme="minorBidi"/>
          <w:color w:val="auto"/>
          <w:sz w:val="24"/>
          <w:lang w:eastAsia="en-US"/>
        </w:rPr>
      </w:pPr>
      <w:r w:rsidRPr="00821B03">
        <w:rPr>
          <w:rFonts w:eastAsiaTheme="minorHAnsi" w:cstheme="minorBidi"/>
          <w:color w:val="auto"/>
          <w:sz w:val="24"/>
          <w:lang w:eastAsia="en-US"/>
        </w:rPr>
        <w:t>Viens no Alūksnes novada ilgtspējīgas attīstības stratēģijas 201</w:t>
      </w:r>
      <w:r>
        <w:rPr>
          <w:rFonts w:eastAsiaTheme="minorHAnsi" w:cstheme="minorBidi"/>
          <w:color w:val="auto"/>
          <w:sz w:val="24"/>
          <w:lang w:eastAsia="en-US"/>
        </w:rPr>
        <w:t>2</w:t>
      </w:r>
      <w:r w:rsidRPr="00821B03">
        <w:rPr>
          <w:rFonts w:eastAsiaTheme="minorHAnsi" w:cstheme="minorBidi"/>
          <w:color w:val="auto"/>
          <w:sz w:val="24"/>
          <w:lang w:eastAsia="en-US"/>
        </w:rPr>
        <w:t xml:space="preserve">.-2030.gadam stratēģiskajiem mērķiem ir droša, dabiska un pieejama vide dzīvošanai, darbam un atpūtai. Lai </w:t>
      </w:r>
      <w:r w:rsidRPr="00821B03">
        <w:rPr>
          <w:rFonts w:eastAsiaTheme="minorHAnsi" w:cstheme="minorBidi"/>
          <w:color w:val="auto"/>
          <w:sz w:val="24"/>
          <w:lang w:eastAsia="en-US"/>
        </w:rPr>
        <w:lastRenderedPageBreak/>
        <w:t xml:space="preserve">šo mērķi sasniegtu ir noteikti vairāki uzdevumi, t.sk. attīstīt novadu par vietu, kurā pieejama kvalitatīva un ekonomiska </w:t>
      </w:r>
      <w:proofErr w:type="spellStart"/>
      <w:r w:rsidRPr="00821B03">
        <w:rPr>
          <w:rFonts w:eastAsiaTheme="minorHAnsi" w:cstheme="minorBidi"/>
          <w:color w:val="auto"/>
          <w:sz w:val="24"/>
          <w:lang w:eastAsia="en-US"/>
        </w:rPr>
        <w:t>inženierapgāde</w:t>
      </w:r>
      <w:proofErr w:type="spellEnd"/>
      <w:r w:rsidRPr="00821B03">
        <w:rPr>
          <w:rFonts w:eastAsiaTheme="minorHAnsi" w:cstheme="minorBidi"/>
          <w:color w:val="auto"/>
          <w:sz w:val="24"/>
          <w:lang w:eastAsia="en-US"/>
        </w:rPr>
        <w:t xml:space="preserve"> un efektīvi komunālie pakalpojumi.</w:t>
      </w:r>
    </w:p>
    <w:p w:rsidR="003E36E3" w:rsidRDefault="003E36E3" w:rsidP="003E36E3">
      <w:pPr>
        <w:ind w:right="19" w:firstLine="426"/>
        <w:rPr>
          <w:sz w:val="24"/>
          <w:szCs w:val="24"/>
        </w:rPr>
      </w:pPr>
      <w:r>
        <w:rPr>
          <w:sz w:val="24"/>
          <w:szCs w:val="24"/>
        </w:rPr>
        <w:t>Atbilstoši Pašvaldību likuma 4.panta pirmās daļas 1.punktam, viena no pašvaldības autonomajām funkcijām ir organizēt iedzīvotājiem ūdenssaimniecības, siltumapgādes un sadzīves atkritumu apsaimniekošanas pakalpojumus neatkarīgi no tā, kā īpašumā atrodas dzīvojamais fonds.</w:t>
      </w:r>
    </w:p>
    <w:p w:rsidR="003E36E3" w:rsidRDefault="003E36E3" w:rsidP="003E36E3">
      <w:pPr>
        <w:spacing w:after="160" w:line="259" w:lineRule="auto"/>
        <w:ind w:right="0" w:firstLine="364"/>
        <w:contextualSpacing/>
        <w:rPr>
          <w:rFonts w:eastAsiaTheme="minorHAnsi" w:cstheme="minorBidi"/>
          <w:color w:val="auto"/>
          <w:sz w:val="24"/>
          <w:lang w:eastAsia="en-US"/>
        </w:rPr>
      </w:pPr>
      <w:r w:rsidRPr="00821B03">
        <w:rPr>
          <w:rFonts w:eastAsiaTheme="minorHAnsi" w:cstheme="minorBidi"/>
          <w:color w:val="auto"/>
          <w:sz w:val="24"/>
          <w:lang w:eastAsia="en-US"/>
        </w:rPr>
        <w:t xml:space="preserve">Enerģētikas likuma 3.panta 1.punkts noteic vienu no likuma mērķiem – nodrošināt enerģijas lietotāju efektīvu, drošu un kvalitatīvu apgādi ar enerģiju pieprasītajā daudzumā un par pamatotām cenām, dažādojot izmantojamo energoresursu veidus, palielinot energoapgādes drošumu un ievērojot vides aizsardzības prasības, </w:t>
      </w:r>
    </w:p>
    <w:p w:rsidR="003E36E3" w:rsidRPr="00821B03" w:rsidRDefault="003E36E3" w:rsidP="003E36E3">
      <w:pPr>
        <w:spacing w:after="160" w:line="259" w:lineRule="auto"/>
        <w:ind w:right="0" w:firstLine="364"/>
        <w:contextualSpacing/>
        <w:rPr>
          <w:rFonts w:eastAsiaTheme="minorHAnsi" w:cstheme="minorBidi"/>
          <w:color w:val="auto"/>
          <w:sz w:val="24"/>
          <w:lang w:eastAsia="en-US"/>
        </w:rPr>
      </w:pPr>
      <w:r w:rsidRPr="00821B03">
        <w:rPr>
          <w:rFonts w:eastAsiaTheme="minorHAnsi" w:cstheme="minorBidi"/>
          <w:color w:val="auto"/>
          <w:sz w:val="24"/>
          <w:szCs w:val="24"/>
          <w:lang w:eastAsia="en-US"/>
        </w:rPr>
        <w:t xml:space="preserve">Ņemot vērā iepriekš minēto, secināms, ka </w:t>
      </w:r>
      <w:r w:rsidRPr="000A170F">
        <w:rPr>
          <w:rFonts w:eastAsiaTheme="minorHAnsi" w:cstheme="minorBidi"/>
          <w:color w:val="auto"/>
          <w:sz w:val="24"/>
          <w:szCs w:val="24"/>
          <w:lang w:eastAsia="en-US"/>
        </w:rPr>
        <w:t xml:space="preserve">SIA “Alūksnes enerģija” darbojas stratēģiski svarīgā nozarē, kas ir būtiska pašvaldības funkciju īstenošanā, līdz ar ko Alūksnes novada pašvaldības līdzdalība SIA “Alūksnes enerģija” ir labākais veids kā iedzīvotājiem nodrošināt pamatvajadzības – siltumapgādes pieejamību. </w:t>
      </w:r>
      <w:r w:rsidRPr="000A170F">
        <w:rPr>
          <w:sz w:val="24"/>
          <w:szCs w:val="24"/>
        </w:rPr>
        <w:t>SIA “Alūksnes enerģija” pamatdarbība tiek īstenota regulējamā nozarē tirgus nepilnības – dabiskā monopola apstākļos.</w:t>
      </w:r>
      <w:r>
        <w:t xml:space="preserve"> </w:t>
      </w:r>
      <w:r w:rsidRPr="00821B03">
        <w:rPr>
          <w:rFonts w:eastAsiaTheme="minorHAnsi" w:cstheme="minorBidi"/>
          <w:color w:val="auto"/>
          <w:sz w:val="24"/>
          <w:lang w:eastAsia="en-US"/>
        </w:rPr>
        <w:t xml:space="preserve">Sabiedrības darbība atbilst Pašvaldību likumam un Enerģētikas likumam, kā arī Alūksnes novada pašvaldības attīstības plānošanas dokumentiem. Līdz ar to Sabiedrības vispārējo stratēģisko mērķi varētu definēt šādi - </w:t>
      </w:r>
      <w:bookmarkStart w:id="1" w:name="_Hlk210219599"/>
      <w:r w:rsidRPr="00821B03">
        <w:rPr>
          <w:rFonts w:eastAsiaTheme="minorHAnsi" w:cstheme="minorBidi"/>
          <w:color w:val="auto"/>
          <w:sz w:val="24"/>
          <w:szCs w:val="24"/>
          <w:lang w:eastAsia="en-US"/>
        </w:rPr>
        <w:t>nodrošināt kvalitatīvu, drošu un nepārtrauktu siltumapgādes pakalpojumu Alūksnes novada Alūksnes pilsētā un Alūksnes novada Mālupes un Jaunlaicenes pagastos.</w:t>
      </w:r>
    </w:p>
    <w:bookmarkEnd w:id="1"/>
    <w:p w:rsidR="003E36E3" w:rsidRDefault="003E36E3" w:rsidP="003E36E3">
      <w:pPr>
        <w:ind w:right="19" w:firstLine="0"/>
        <w:rPr>
          <w:sz w:val="24"/>
          <w:szCs w:val="24"/>
        </w:rPr>
      </w:pPr>
    </w:p>
    <w:p w:rsidR="003E36E3" w:rsidRDefault="003E36E3" w:rsidP="003E36E3">
      <w:pPr>
        <w:ind w:right="19" w:firstLine="364"/>
        <w:rPr>
          <w:sz w:val="24"/>
          <w:szCs w:val="24"/>
        </w:rPr>
      </w:pPr>
      <w:r>
        <w:rPr>
          <w:sz w:val="24"/>
          <w:szCs w:val="24"/>
        </w:rPr>
        <w:t>Ņemot vērā iepriekš minēto un pamatojoties uz Pašvaldību likuma 10.panta pirmās daļas 9.punktu, Publiskas personas kapitāla daļu un kapitālsabiedrību pārvaldības likuma 4.panta pirmo daļu, 7.panta pirmo un otro daļu, Valsts pārvaldes iekārtas likuma 88.panta pirmo un otro daļu, Alūksnes novada pašvaldības dome nolemj:</w:t>
      </w:r>
    </w:p>
    <w:p w:rsidR="003E36E3" w:rsidRDefault="003E36E3" w:rsidP="003E36E3">
      <w:pPr>
        <w:ind w:right="19"/>
        <w:rPr>
          <w:sz w:val="24"/>
          <w:szCs w:val="24"/>
        </w:rPr>
      </w:pPr>
    </w:p>
    <w:p w:rsidR="003E36E3" w:rsidRDefault="003E36E3" w:rsidP="003E36E3">
      <w:pPr>
        <w:pStyle w:val="Sarakstarindkopa"/>
        <w:numPr>
          <w:ilvl w:val="0"/>
          <w:numId w:val="1"/>
        </w:numPr>
        <w:ind w:right="19"/>
        <w:rPr>
          <w:sz w:val="24"/>
          <w:szCs w:val="24"/>
        </w:rPr>
      </w:pPr>
      <w:r>
        <w:rPr>
          <w:sz w:val="24"/>
          <w:szCs w:val="24"/>
        </w:rPr>
        <w:t>Atzīt, ka SIA “Alūksnes enerģija”, reģistrācijas Nr. 43203003117, darbība, sniedzot siltumapgādes pakalpojumus, atbilst Valsts pārvaldes iekārtas likuma 88.panta pirmās daļas 1., 2. un 3.punktam.</w:t>
      </w:r>
    </w:p>
    <w:p w:rsidR="003E36E3" w:rsidRDefault="003E36E3" w:rsidP="003E36E3">
      <w:pPr>
        <w:pStyle w:val="Sarakstarindkopa"/>
        <w:numPr>
          <w:ilvl w:val="0"/>
          <w:numId w:val="1"/>
        </w:numPr>
        <w:ind w:right="19"/>
        <w:rPr>
          <w:sz w:val="24"/>
          <w:szCs w:val="24"/>
        </w:rPr>
      </w:pPr>
      <w:r>
        <w:rPr>
          <w:sz w:val="24"/>
          <w:szCs w:val="24"/>
        </w:rPr>
        <w:t>S</w:t>
      </w:r>
      <w:r w:rsidRPr="004562D0">
        <w:rPr>
          <w:sz w:val="24"/>
          <w:szCs w:val="24"/>
        </w:rPr>
        <w:t xml:space="preserve">aglabāt Alūksnes novada pašvaldības tiešo līdzdalību </w:t>
      </w:r>
      <w:r>
        <w:rPr>
          <w:sz w:val="24"/>
          <w:szCs w:val="24"/>
        </w:rPr>
        <w:t>SIA</w:t>
      </w:r>
      <w:r w:rsidRPr="004562D0">
        <w:rPr>
          <w:sz w:val="24"/>
          <w:szCs w:val="24"/>
        </w:rPr>
        <w:t xml:space="preserve"> “Alūksnes </w:t>
      </w:r>
      <w:r>
        <w:rPr>
          <w:sz w:val="24"/>
          <w:szCs w:val="24"/>
        </w:rPr>
        <w:t>enerģija</w:t>
      </w:r>
      <w:r w:rsidRPr="004562D0">
        <w:rPr>
          <w:sz w:val="24"/>
          <w:szCs w:val="24"/>
        </w:rPr>
        <w:t>”.</w:t>
      </w:r>
    </w:p>
    <w:p w:rsidR="003E36E3" w:rsidRPr="008735EF" w:rsidRDefault="003E36E3" w:rsidP="003E36E3">
      <w:pPr>
        <w:pStyle w:val="Sarakstarindkopa"/>
        <w:numPr>
          <w:ilvl w:val="0"/>
          <w:numId w:val="1"/>
        </w:numPr>
        <w:ind w:right="19"/>
        <w:rPr>
          <w:sz w:val="24"/>
          <w:szCs w:val="24"/>
        </w:rPr>
      </w:pPr>
      <w:r w:rsidRPr="009F44FA">
        <w:rPr>
          <w:sz w:val="24"/>
          <w:szCs w:val="24"/>
        </w:rPr>
        <w:t xml:space="preserve">Noteikt, ka SIA “Alūksnes enerģija” vispārējais stratēģiskais mērķis ir </w:t>
      </w:r>
      <w:r w:rsidRPr="009F44FA">
        <w:rPr>
          <w:rFonts w:eastAsiaTheme="minorHAnsi" w:cstheme="minorBidi"/>
          <w:color w:val="auto"/>
          <w:sz w:val="24"/>
          <w:szCs w:val="24"/>
          <w:lang w:eastAsia="en-US"/>
        </w:rPr>
        <w:t xml:space="preserve">nodrošināt kvalitatīvu, drošu un </w:t>
      </w:r>
      <w:r w:rsidRPr="008735EF">
        <w:rPr>
          <w:rFonts w:eastAsiaTheme="minorHAnsi" w:cstheme="minorBidi"/>
          <w:color w:val="auto"/>
          <w:sz w:val="24"/>
          <w:szCs w:val="24"/>
          <w:lang w:eastAsia="en-US"/>
        </w:rPr>
        <w:t>nepārtrauktu siltumapgādes pakalpojumu Alūksnes novada Alūksnes pilsētā un Alūksnes novada Mālupes un Jaunlaicenes pagastos.</w:t>
      </w:r>
    </w:p>
    <w:p w:rsidR="003E36E3" w:rsidRPr="008735EF" w:rsidRDefault="003E36E3" w:rsidP="003E36E3">
      <w:pPr>
        <w:pStyle w:val="Sarakstarindkopa"/>
        <w:numPr>
          <w:ilvl w:val="0"/>
          <w:numId w:val="1"/>
        </w:numPr>
        <w:ind w:right="19"/>
        <w:rPr>
          <w:sz w:val="24"/>
          <w:szCs w:val="24"/>
        </w:rPr>
      </w:pPr>
      <w:r w:rsidRPr="008735EF">
        <w:rPr>
          <w:sz w:val="24"/>
          <w:szCs w:val="24"/>
        </w:rPr>
        <w:t xml:space="preserve">Noteikt, ka SIA “Alūksnes enerģija” valdei, turpinot sniegt statūtos norādītos komercdarbības veidus - citur neklasificētu </w:t>
      </w:r>
      <w:proofErr w:type="spellStart"/>
      <w:r w:rsidRPr="008735EF">
        <w:rPr>
          <w:sz w:val="24"/>
          <w:szCs w:val="24"/>
        </w:rPr>
        <w:t>inženierbūvniecības</w:t>
      </w:r>
      <w:proofErr w:type="spellEnd"/>
      <w:r w:rsidRPr="008735EF">
        <w:rPr>
          <w:sz w:val="24"/>
          <w:szCs w:val="24"/>
        </w:rPr>
        <w:t xml:space="preserve"> objektu būvniecība un </w:t>
      </w:r>
      <w:proofErr w:type="spellStart"/>
      <w:r w:rsidRPr="008735EF">
        <w:rPr>
          <w:sz w:val="24"/>
          <w:szCs w:val="24"/>
        </w:rPr>
        <w:t>santehnisko</w:t>
      </w:r>
      <w:proofErr w:type="spellEnd"/>
      <w:r w:rsidRPr="008735EF">
        <w:rPr>
          <w:sz w:val="24"/>
          <w:szCs w:val="24"/>
        </w:rPr>
        <w:t xml:space="preserve"> sistēmu, apkures un gaisa kondicionēšanas iekārtu uzstādīšana, regulāri jāveic ietekmes uz konkurenci </w:t>
      </w:r>
      <w:proofErr w:type="spellStart"/>
      <w:r w:rsidRPr="008735EF">
        <w:rPr>
          <w:sz w:val="24"/>
          <w:szCs w:val="24"/>
        </w:rPr>
        <w:t>izvērtējums</w:t>
      </w:r>
      <w:proofErr w:type="spellEnd"/>
      <w:r w:rsidRPr="008735EF">
        <w:rPr>
          <w:sz w:val="24"/>
          <w:szCs w:val="24"/>
        </w:rPr>
        <w:t>.</w:t>
      </w:r>
    </w:p>
    <w:p w:rsidR="003E36E3" w:rsidRPr="008735EF" w:rsidRDefault="003E36E3" w:rsidP="003E36E3">
      <w:pPr>
        <w:ind w:right="19" w:firstLine="0"/>
        <w:rPr>
          <w:sz w:val="24"/>
          <w:szCs w:val="24"/>
        </w:rPr>
      </w:pPr>
    </w:p>
    <w:p w:rsidR="003E36E3" w:rsidRDefault="003E36E3" w:rsidP="003E36E3">
      <w:pPr>
        <w:ind w:right="19"/>
        <w:rPr>
          <w:sz w:val="24"/>
          <w:szCs w:val="24"/>
        </w:rPr>
      </w:pPr>
    </w:p>
    <w:bookmarkEnd w:id="0"/>
    <w:p w:rsidR="003E36E3" w:rsidRPr="002163C6" w:rsidRDefault="003E36E3" w:rsidP="003E36E3">
      <w:pPr>
        <w:rPr>
          <w:i/>
        </w:rPr>
      </w:pPr>
      <w:r w:rsidRPr="00F00DA8">
        <w:rPr>
          <w:i/>
        </w:rPr>
        <w:tab/>
      </w:r>
      <w:r w:rsidRPr="00F00DA8">
        <w:rPr>
          <w:i/>
        </w:rPr>
        <w:tab/>
      </w:r>
      <w:r w:rsidRPr="00F00DA8">
        <w:rPr>
          <w:i/>
        </w:rPr>
        <w:tab/>
      </w:r>
      <w:r w:rsidRPr="00F00DA8">
        <w:rPr>
          <w:i/>
        </w:rPr>
        <w:tab/>
      </w:r>
    </w:p>
    <w:p w:rsidR="00E862DE" w:rsidRDefault="00E862DE"/>
    <w:sectPr w:rsidR="00E862DE" w:rsidSect="003E36E3">
      <w:headerReference w:type="even" r:id="rId5"/>
      <w:footerReference w:type="even" r:id="rId6"/>
      <w:footerReference w:type="default" r:id="rId7"/>
      <w:headerReference w:type="first" r:id="rId8"/>
      <w:footerReference w:type="firs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E3" w:rsidRDefault="003E36E3">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E3" w:rsidRDefault="003E36E3">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E3" w:rsidRDefault="003E36E3">
    <w:pPr>
      <w:spacing w:after="160" w:line="259" w:lineRule="auto"/>
      <w:ind w:righ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E3" w:rsidRDefault="003E36E3">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E3" w:rsidRDefault="003E36E3">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4077B"/>
    <w:multiLevelType w:val="hybridMultilevel"/>
    <w:tmpl w:val="5B0090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2F5049"/>
    <w:multiLevelType w:val="hybridMultilevel"/>
    <w:tmpl w:val="6060E24A"/>
    <w:lvl w:ilvl="0" w:tplc="AB5A29C4">
      <w:start w:val="1"/>
      <w:numFmt w:val="decimal"/>
      <w:lvlText w:val="%1."/>
      <w:lvlJc w:val="left"/>
      <w:pPr>
        <w:ind w:left="364" w:hanging="360"/>
      </w:pPr>
      <w:rPr>
        <w:rFonts w:hint="default"/>
      </w:rPr>
    </w:lvl>
    <w:lvl w:ilvl="1" w:tplc="04260019" w:tentative="1">
      <w:start w:val="1"/>
      <w:numFmt w:val="lowerLetter"/>
      <w:lvlText w:val="%2."/>
      <w:lvlJc w:val="left"/>
      <w:pPr>
        <w:ind w:left="1084" w:hanging="360"/>
      </w:pPr>
    </w:lvl>
    <w:lvl w:ilvl="2" w:tplc="0426001B" w:tentative="1">
      <w:start w:val="1"/>
      <w:numFmt w:val="lowerRoman"/>
      <w:lvlText w:val="%3."/>
      <w:lvlJc w:val="right"/>
      <w:pPr>
        <w:ind w:left="1804" w:hanging="180"/>
      </w:pPr>
    </w:lvl>
    <w:lvl w:ilvl="3" w:tplc="0426000F" w:tentative="1">
      <w:start w:val="1"/>
      <w:numFmt w:val="decimal"/>
      <w:lvlText w:val="%4."/>
      <w:lvlJc w:val="left"/>
      <w:pPr>
        <w:ind w:left="2524" w:hanging="360"/>
      </w:pPr>
    </w:lvl>
    <w:lvl w:ilvl="4" w:tplc="04260019" w:tentative="1">
      <w:start w:val="1"/>
      <w:numFmt w:val="lowerLetter"/>
      <w:lvlText w:val="%5."/>
      <w:lvlJc w:val="left"/>
      <w:pPr>
        <w:ind w:left="3244" w:hanging="360"/>
      </w:pPr>
    </w:lvl>
    <w:lvl w:ilvl="5" w:tplc="0426001B" w:tentative="1">
      <w:start w:val="1"/>
      <w:numFmt w:val="lowerRoman"/>
      <w:lvlText w:val="%6."/>
      <w:lvlJc w:val="right"/>
      <w:pPr>
        <w:ind w:left="3964" w:hanging="180"/>
      </w:pPr>
    </w:lvl>
    <w:lvl w:ilvl="6" w:tplc="0426000F" w:tentative="1">
      <w:start w:val="1"/>
      <w:numFmt w:val="decimal"/>
      <w:lvlText w:val="%7."/>
      <w:lvlJc w:val="left"/>
      <w:pPr>
        <w:ind w:left="4684" w:hanging="360"/>
      </w:pPr>
    </w:lvl>
    <w:lvl w:ilvl="7" w:tplc="04260019" w:tentative="1">
      <w:start w:val="1"/>
      <w:numFmt w:val="lowerLetter"/>
      <w:lvlText w:val="%8."/>
      <w:lvlJc w:val="left"/>
      <w:pPr>
        <w:ind w:left="5404" w:hanging="360"/>
      </w:pPr>
    </w:lvl>
    <w:lvl w:ilvl="8" w:tplc="0426001B" w:tentative="1">
      <w:start w:val="1"/>
      <w:numFmt w:val="lowerRoman"/>
      <w:lvlText w:val="%9."/>
      <w:lvlJc w:val="right"/>
      <w:pPr>
        <w:ind w:left="6124" w:hanging="180"/>
      </w:pPr>
    </w:lvl>
  </w:abstractNum>
  <w:num w:numId="1" w16cid:durableId="1761674956">
    <w:abstractNumId w:val="1"/>
  </w:num>
  <w:num w:numId="2" w16cid:durableId="72325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E3"/>
    <w:rsid w:val="00147D9E"/>
    <w:rsid w:val="003E36E3"/>
    <w:rsid w:val="003E5F3C"/>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15BD6-91D3-40B9-96F0-FF52D1E1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6E3"/>
    <w:pPr>
      <w:spacing w:after="12" w:line="251" w:lineRule="auto"/>
      <w:ind w:right="29" w:firstLine="4"/>
      <w:jc w:val="both"/>
    </w:pPr>
    <w:rPr>
      <w:rFonts w:eastAsia="Times New Roman" w:cs="Times New Roman"/>
      <w:color w:val="000000"/>
      <w:kern w:val="0"/>
      <w:sz w:val="22"/>
      <w:szCs w:val="22"/>
      <w:lang w:eastAsia="lv-LV"/>
      <w14:ligatures w14:val="none"/>
    </w:rPr>
  </w:style>
  <w:style w:type="paragraph" w:styleId="Virsraksts1">
    <w:name w:val="heading 1"/>
    <w:basedOn w:val="Parasts"/>
    <w:next w:val="Parasts"/>
    <w:link w:val="Virsraksts1Rakstz"/>
    <w:uiPriority w:val="9"/>
    <w:qFormat/>
    <w:rsid w:val="003E3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3E3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E36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E36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E36E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E36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36E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E36E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36E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36E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3E36E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E36E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E36E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E36E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E36E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36E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E36E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36E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E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36E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36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36E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E36E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36E3"/>
    <w:rPr>
      <w:i/>
      <w:iCs/>
      <w:color w:val="404040" w:themeColor="text1" w:themeTint="BF"/>
    </w:rPr>
  </w:style>
  <w:style w:type="paragraph" w:styleId="Sarakstarindkopa">
    <w:name w:val="List Paragraph"/>
    <w:basedOn w:val="Parasts"/>
    <w:uiPriority w:val="34"/>
    <w:qFormat/>
    <w:rsid w:val="003E36E3"/>
    <w:pPr>
      <w:ind w:left="720"/>
      <w:contextualSpacing/>
    </w:pPr>
  </w:style>
  <w:style w:type="character" w:styleId="Intensvsizclums">
    <w:name w:val="Intense Emphasis"/>
    <w:basedOn w:val="Noklusjumarindkopasfonts"/>
    <w:uiPriority w:val="21"/>
    <w:qFormat/>
    <w:rsid w:val="003E36E3"/>
    <w:rPr>
      <w:i/>
      <w:iCs/>
      <w:color w:val="0F4761" w:themeColor="accent1" w:themeShade="BF"/>
    </w:rPr>
  </w:style>
  <w:style w:type="paragraph" w:styleId="Intensvscitts">
    <w:name w:val="Intense Quote"/>
    <w:basedOn w:val="Parasts"/>
    <w:next w:val="Parasts"/>
    <w:link w:val="IntensvscittsRakstz"/>
    <w:uiPriority w:val="30"/>
    <w:qFormat/>
    <w:rsid w:val="003E3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E36E3"/>
    <w:rPr>
      <w:i/>
      <w:iCs/>
      <w:color w:val="0F4761" w:themeColor="accent1" w:themeShade="BF"/>
    </w:rPr>
  </w:style>
  <w:style w:type="character" w:styleId="Intensvaatsauce">
    <w:name w:val="Intense Reference"/>
    <w:basedOn w:val="Noklusjumarindkopasfonts"/>
    <w:uiPriority w:val="32"/>
    <w:qFormat/>
    <w:rsid w:val="003E3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6443</Words>
  <Characters>3673</Characters>
  <Application>Microsoft Office Word</Application>
  <DocSecurity>0</DocSecurity>
  <Lines>30</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2025-11-06T07:02:00Z</dcterms:created>
  <dcterms:modified xsi:type="dcterms:W3CDTF">2025-11-06T07:03:00Z</dcterms:modified>
</cp:coreProperties>
</file>