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428C" w14:textId="77777777" w:rsidR="00F33D91" w:rsidRPr="003131C5" w:rsidRDefault="00F33D91" w:rsidP="00F33D91">
      <w:pPr>
        <w:jc w:val="right"/>
        <w:rPr>
          <w:i/>
          <w:iCs/>
        </w:rPr>
      </w:pPr>
      <w:r w:rsidRPr="003131C5">
        <w:rPr>
          <w:i/>
          <w:iCs/>
        </w:rPr>
        <w:t>Lēmuma projekts</w:t>
      </w:r>
    </w:p>
    <w:p w14:paraId="3310F536" w14:textId="77777777" w:rsidR="00F33D91" w:rsidRPr="00686CA7" w:rsidRDefault="00F33D91" w:rsidP="00F33D91">
      <w:pPr>
        <w:spacing w:after="0" w:line="240" w:lineRule="auto"/>
        <w:jc w:val="center"/>
        <w:rPr>
          <w:b/>
          <w:bCs/>
        </w:rPr>
      </w:pPr>
      <w:bookmarkStart w:id="0" w:name="_Hlk192237849"/>
      <w:r w:rsidRPr="00686CA7">
        <w:rPr>
          <w:b/>
          <w:bCs/>
        </w:rPr>
        <w:t>Par saistošo noteikumu Nr. </w:t>
      </w:r>
      <w:r>
        <w:rPr>
          <w:b/>
          <w:bCs/>
        </w:rPr>
        <w:t>__</w:t>
      </w:r>
      <w:r w:rsidRPr="00686CA7">
        <w:rPr>
          <w:b/>
          <w:bCs/>
        </w:rPr>
        <w:t>/2025</w:t>
      </w:r>
    </w:p>
    <w:p w14:paraId="2C9BF84D" w14:textId="77777777" w:rsidR="00F33D91" w:rsidRPr="00686CA7" w:rsidRDefault="00F33D91" w:rsidP="00F33D91">
      <w:pPr>
        <w:spacing w:after="0" w:line="240" w:lineRule="auto"/>
        <w:jc w:val="center"/>
        <w:rPr>
          <w:b/>
          <w:bCs/>
        </w:rPr>
      </w:pPr>
      <w:r w:rsidRPr="00686CA7">
        <w:rPr>
          <w:b/>
          <w:bCs/>
        </w:rPr>
        <w:t>“Alūksnes novada pašvaldības līdzdalības budžeta nolikums” izdošanu</w:t>
      </w:r>
    </w:p>
    <w:p w14:paraId="76917A16" w14:textId="77777777" w:rsidR="00F33D91" w:rsidRDefault="00F33D91" w:rsidP="00F33D91">
      <w:pPr>
        <w:spacing w:after="0" w:line="240" w:lineRule="auto"/>
        <w:jc w:val="center"/>
      </w:pPr>
    </w:p>
    <w:p w14:paraId="46058F35" w14:textId="77777777" w:rsidR="00F33D91" w:rsidRDefault="00F33D91" w:rsidP="00F33D91">
      <w:pPr>
        <w:spacing w:after="0" w:line="240" w:lineRule="auto"/>
        <w:ind w:firstLine="426"/>
        <w:jc w:val="both"/>
      </w:pPr>
      <w:r>
        <w:t>Pamatojoties uz Pašvaldību likuma 61. pantu,</w:t>
      </w:r>
    </w:p>
    <w:p w14:paraId="5E53CFC6" w14:textId="77777777" w:rsidR="00F33D91" w:rsidRDefault="00F33D91" w:rsidP="00F33D91">
      <w:pPr>
        <w:spacing w:after="0" w:line="240" w:lineRule="auto"/>
        <w:ind w:firstLine="426"/>
        <w:jc w:val="both"/>
      </w:pPr>
    </w:p>
    <w:p w14:paraId="5056D1DE" w14:textId="77777777" w:rsidR="00F33D91" w:rsidRDefault="00F33D91" w:rsidP="00F33D91">
      <w:pPr>
        <w:spacing w:after="0" w:line="240" w:lineRule="auto"/>
        <w:ind w:firstLine="426"/>
        <w:jc w:val="both"/>
      </w:pPr>
      <w:r>
        <w:t>izdot saistošos noteikumus Nr. __/2025 “Alūksnes novada pašvaldības līdzdalības budžeta nolikums”.</w:t>
      </w:r>
    </w:p>
    <w:bookmarkEnd w:id="0"/>
    <w:p w14:paraId="209712C7" w14:textId="77777777" w:rsidR="00F33D91" w:rsidRDefault="00F33D91" w:rsidP="00F33D91">
      <w:pPr>
        <w:spacing w:after="0" w:line="240" w:lineRule="auto"/>
        <w:jc w:val="both"/>
        <w:rPr>
          <w:i/>
          <w:iCs/>
        </w:rPr>
      </w:pPr>
    </w:p>
    <w:p w14:paraId="6689BD64" w14:textId="53F607D3" w:rsidR="00F33D91" w:rsidRPr="003131C5" w:rsidRDefault="00F33D91" w:rsidP="00F33D91">
      <w:pPr>
        <w:spacing w:after="0" w:line="240" w:lineRule="auto"/>
        <w:jc w:val="right"/>
        <w:rPr>
          <w:i/>
          <w:iCs/>
        </w:rPr>
      </w:pPr>
      <w:r w:rsidRPr="003131C5">
        <w:rPr>
          <w:i/>
          <w:iCs/>
        </w:rPr>
        <w:t>Saistošo noteikumu projekts</w:t>
      </w:r>
    </w:p>
    <w:p w14:paraId="4D3381F0" w14:textId="77777777" w:rsidR="00F33D91" w:rsidRDefault="00F33D91" w:rsidP="00F33D91">
      <w:pPr>
        <w:spacing w:after="0" w:line="240" w:lineRule="auto"/>
        <w:jc w:val="right"/>
      </w:pPr>
    </w:p>
    <w:p w14:paraId="4C0CC182" w14:textId="77777777" w:rsidR="00F33D91" w:rsidRDefault="00F33D91" w:rsidP="00F33D91">
      <w:pPr>
        <w:spacing w:after="0" w:line="240" w:lineRule="auto"/>
        <w:jc w:val="center"/>
        <w:rPr>
          <w:b/>
          <w:bCs/>
        </w:rPr>
      </w:pPr>
      <w:bookmarkStart w:id="1" w:name="_Hlk192237908"/>
      <w:r>
        <w:rPr>
          <w:b/>
          <w:bCs/>
        </w:rPr>
        <w:t>Alūksnes novada pašvaldības līdzdalības budžeta nolikums</w:t>
      </w:r>
    </w:p>
    <w:p w14:paraId="20687298" w14:textId="77777777" w:rsidR="00F33D91" w:rsidRDefault="00F33D91" w:rsidP="00F33D91">
      <w:pPr>
        <w:spacing w:after="0" w:line="240" w:lineRule="auto"/>
        <w:jc w:val="center"/>
        <w:rPr>
          <w:b/>
          <w:bCs/>
        </w:rPr>
      </w:pPr>
    </w:p>
    <w:p w14:paraId="6200E6F1" w14:textId="77777777" w:rsidR="00F33D91" w:rsidRDefault="00F33D91" w:rsidP="00F33D91">
      <w:pPr>
        <w:spacing w:after="0" w:line="240" w:lineRule="auto"/>
        <w:jc w:val="right"/>
        <w:rPr>
          <w:i/>
          <w:iCs/>
        </w:rPr>
      </w:pPr>
      <w:r>
        <w:rPr>
          <w:i/>
          <w:iCs/>
        </w:rPr>
        <w:t>Izdoti saskaņā ar Pašvaldību likuma 61. pantu</w:t>
      </w:r>
    </w:p>
    <w:p w14:paraId="57A88E74" w14:textId="77777777" w:rsidR="00F33D91" w:rsidRDefault="00F33D91" w:rsidP="00F33D91">
      <w:pPr>
        <w:spacing w:after="0" w:line="240" w:lineRule="auto"/>
        <w:jc w:val="right"/>
        <w:rPr>
          <w:i/>
          <w:iCs/>
        </w:rPr>
      </w:pPr>
    </w:p>
    <w:p w14:paraId="786DEF59" w14:textId="77777777" w:rsidR="00F33D91" w:rsidRDefault="00F33D91" w:rsidP="00F33D91">
      <w:pPr>
        <w:pStyle w:val="Sarakstarindkopa"/>
        <w:numPr>
          <w:ilvl w:val="0"/>
          <w:numId w:val="1"/>
        </w:numPr>
        <w:spacing w:after="0" w:line="240" w:lineRule="auto"/>
        <w:ind w:left="284" w:hanging="284"/>
        <w:jc w:val="center"/>
        <w:rPr>
          <w:b/>
          <w:bCs/>
        </w:rPr>
      </w:pPr>
      <w:r>
        <w:rPr>
          <w:b/>
          <w:bCs/>
        </w:rPr>
        <w:t>Vispārīgie jautājumi</w:t>
      </w:r>
    </w:p>
    <w:p w14:paraId="2C842929" w14:textId="77777777" w:rsidR="00F33D91" w:rsidRDefault="00F33D91" w:rsidP="00F33D91">
      <w:pPr>
        <w:pStyle w:val="Sarakstarindkopa"/>
        <w:numPr>
          <w:ilvl w:val="0"/>
          <w:numId w:val="2"/>
        </w:numPr>
        <w:spacing w:after="0" w:line="240" w:lineRule="auto"/>
        <w:ind w:left="284" w:hanging="284"/>
        <w:jc w:val="both"/>
      </w:pPr>
      <w:r>
        <w:t>Saistošie noteikumi (turpmāk – nolikums) nosaka kārtību, kādā Alūksnes novada pašvaldība (turpmāk – pašvaldība) organizē līdzdalības budžeta projektu konkursu (turpmāk – konkurss) sabiedrības ierosinātiem pašvaldības teritorijas attīstības projektiem (turpmāk – projekts).</w:t>
      </w:r>
    </w:p>
    <w:p w14:paraId="652BDF3C" w14:textId="77777777" w:rsidR="00F33D91" w:rsidRPr="001963BD" w:rsidRDefault="00F33D91" w:rsidP="00F33D91">
      <w:pPr>
        <w:pStyle w:val="Sarakstarindkopa"/>
        <w:numPr>
          <w:ilvl w:val="0"/>
          <w:numId w:val="2"/>
        </w:numPr>
        <w:spacing w:after="0" w:line="240" w:lineRule="auto"/>
        <w:ind w:left="284" w:hanging="284"/>
        <w:jc w:val="both"/>
      </w:pPr>
      <w:r>
        <w:t>Līdzdalības budžeta plānošanas teritorija ir visa pašvaldības administratīvā teritorija.</w:t>
      </w:r>
    </w:p>
    <w:p w14:paraId="5F1FFCBA" w14:textId="77777777" w:rsidR="00F33D91" w:rsidRDefault="00F33D91" w:rsidP="00F33D91">
      <w:pPr>
        <w:pStyle w:val="Sarakstarindkopa"/>
        <w:numPr>
          <w:ilvl w:val="0"/>
          <w:numId w:val="2"/>
        </w:numPr>
        <w:spacing w:after="0" w:line="240" w:lineRule="auto"/>
        <w:ind w:left="284" w:hanging="284"/>
        <w:jc w:val="both"/>
      </w:pPr>
      <w:r>
        <w:t>Konkursa norisi nodrošina pašvaldības Centrālā administrācija.</w:t>
      </w:r>
    </w:p>
    <w:p w14:paraId="692F560B" w14:textId="77777777" w:rsidR="00F33D91" w:rsidRDefault="00F33D91" w:rsidP="00F33D91">
      <w:pPr>
        <w:pStyle w:val="Sarakstarindkopa"/>
        <w:numPr>
          <w:ilvl w:val="0"/>
          <w:numId w:val="2"/>
        </w:numPr>
        <w:spacing w:after="0" w:line="240" w:lineRule="auto"/>
        <w:ind w:left="284" w:hanging="284"/>
        <w:jc w:val="both"/>
      </w:pPr>
      <w:r>
        <w:t xml:space="preserve">Paziņojumu par konkursa izsludināšanu publicē pašvaldības tīmekļvietnē </w:t>
      </w:r>
      <w:hyperlink r:id="rId5" w:history="1">
        <w:r w:rsidRPr="00991A47">
          <w:rPr>
            <w:rStyle w:val="Hipersaite"/>
          </w:rPr>
          <w:t>www.aluksne.lv</w:t>
        </w:r>
      </w:hyperlink>
      <w:r>
        <w:t xml:space="preserve"> un Valsts vienotajā ģeotelpiskās informācijas portālā </w:t>
      </w:r>
      <w:hyperlink r:id="rId6" w:history="1">
        <w:r w:rsidRPr="00802201">
          <w:rPr>
            <w:rStyle w:val="Hipersaite"/>
          </w:rPr>
          <w:t>www.geolatvija.lv</w:t>
        </w:r>
      </w:hyperlink>
      <w:r>
        <w:t xml:space="preserve"> (turpmāk – portāls </w:t>
      </w:r>
      <w:proofErr w:type="spellStart"/>
      <w:r>
        <w:t>www.geolatvija.lv</w:t>
      </w:r>
      <w:proofErr w:type="spellEnd"/>
      <w:r>
        <w:t>), norādot:</w:t>
      </w:r>
    </w:p>
    <w:p w14:paraId="5804C21B" w14:textId="77777777" w:rsidR="00F33D91" w:rsidRDefault="00F33D91" w:rsidP="00F33D91">
      <w:pPr>
        <w:pStyle w:val="Sarakstarindkopa"/>
        <w:numPr>
          <w:ilvl w:val="1"/>
          <w:numId w:val="2"/>
        </w:numPr>
        <w:spacing w:after="0" w:line="240" w:lineRule="auto"/>
        <w:ind w:hanging="436"/>
        <w:jc w:val="both"/>
      </w:pPr>
      <w:r>
        <w:t>attiecīgajā pašvaldības budžeta gadā projektiem pieejamo finansējumu;</w:t>
      </w:r>
    </w:p>
    <w:p w14:paraId="4997650B" w14:textId="77777777" w:rsidR="00F33D91" w:rsidRDefault="00F33D91" w:rsidP="00F33D91">
      <w:pPr>
        <w:pStyle w:val="Sarakstarindkopa"/>
        <w:numPr>
          <w:ilvl w:val="1"/>
          <w:numId w:val="2"/>
        </w:numPr>
        <w:spacing w:after="0" w:line="240" w:lineRule="auto"/>
        <w:ind w:hanging="436"/>
        <w:jc w:val="both"/>
      </w:pPr>
      <w:r>
        <w:t>projekta pieteikuma iesniegšanas veidu;</w:t>
      </w:r>
    </w:p>
    <w:p w14:paraId="500C2BAA" w14:textId="77777777" w:rsidR="00F33D91" w:rsidRDefault="00F33D91" w:rsidP="00F33D91">
      <w:pPr>
        <w:pStyle w:val="Sarakstarindkopa"/>
        <w:numPr>
          <w:ilvl w:val="1"/>
          <w:numId w:val="2"/>
        </w:numPr>
        <w:spacing w:after="0" w:line="240" w:lineRule="auto"/>
        <w:ind w:left="284" w:firstLine="0"/>
        <w:jc w:val="both"/>
      </w:pPr>
      <w:r>
        <w:t>projekta pieteikuma iesniegšanas termiņu</w:t>
      </w:r>
      <w:r w:rsidRPr="00585549">
        <w:t>, kas ir 30 dienas</w:t>
      </w:r>
      <w:r>
        <w:t xml:space="preserve"> no konkursa izsludināšanas;</w:t>
      </w:r>
    </w:p>
    <w:p w14:paraId="7DF3FC56" w14:textId="77777777" w:rsidR="00F33D91" w:rsidRDefault="00F33D91" w:rsidP="00F33D91">
      <w:pPr>
        <w:pStyle w:val="Sarakstarindkopa"/>
        <w:numPr>
          <w:ilvl w:val="1"/>
          <w:numId w:val="2"/>
        </w:numPr>
        <w:spacing w:after="0" w:line="240" w:lineRule="auto"/>
        <w:ind w:hanging="436"/>
        <w:jc w:val="both"/>
      </w:pPr>
      <w:r>
        <w:t>pašvaldības kontaktpersonu.</w:t>
      </w:r>
    </w:p>
    <w:p w14:paraId="14245872" w14:textId="77777777" w:rsidR="00F33D91" w:rsidRDefault="00F33D91" w:rsidP="00F33D91">
      <w:pPr>
        <w:pStyle w:val="Sarakstarindkopa"/>
        <w:numPr>
          <w:ilvl w:val="0"/>
          <w:numId w:val="2"/>
        </w:numPr>
        <w:spacing w:after="0" w:line="240" w:lineRule="auto"/>
        <w:ind w:left="284" w:hanging="284"/>
        <w:jc w:val="both"/>
      </w:pPr>
      <w:r>
        <w:t>Projektiem paredzētais finansējums tiek noteikts pašvaldības kārtējā gada budžetā.</w:t>
      </w:r>
    </w:p>
    <w:p w14:paraId="5161C1CA" w14:textId="77777777" w:rsidR="00F33D91" w:rsidRDefault="00F33D91" w:rsidP="00F33D91">
      <w:pPr>
        <w:pStyle w:val="Sarakstarindkopa"/>
        <w:spacing w:after="0" w:line="240" w:lineRule="auto"/>
        <w:ind w:left="284"/>
        <w:jc w:val="both"/>
      </w:pPr>
    </w:p>
    <w:p w14:paraId="2E543AF3" w14:textId="77777777" w:rsidR="00F33D91" w:rsidRPr="00225960" w:rsidRDefault="00F33D91" w:rsidP="00F33D91">
      <w:pPr>
        <w:pStyle w:val="Sarakstarindkopa"/>
        <w:numPr>
          <w:ilvl w:val="0"/>
          <w:numId w:val="1"/>
        </w:numPr>
        <w:spacing w:after="0" w:line="240" w:lineRule="auto"/>
        <w:ind w:left="284" w:hanging="284"/>
        <w:jc w:val="center"/>
        <w:rPr>
          <w:b/>
          <w:bCs/>
        </w:rPr>
      </w:pPr>
      <w:r>
        <w:rPr>
          <w:b/>
          <w:bCs/>
        </w:rPr>
        <w:t>Projektam izvirzītās prasības, p</w:t>
      </w:r>
      <w:r w:rsidRPr="00225960">
        <w:rPr>
          <w:b/>
          <w:bCs/>
        </w:rPr>
        <w:t>rojekta dokumenti</w:t>
      </w:r>
      <w:r>
        <w:rPr>
          <w:b/>
          <w:bCs/>
        </w:rPr>
        <w:t xml:space="preserve"> </w:t>
      </w:r>
      <w:r w:rsidRPr="00225960">
        <w:rPr>
          <w:b/>
          <w:bCs/>
        </w:rPr>
        <w:t>un iesniegšanas kārtība</w:t>
      </w:r>
    </w:p>
    <w:p w14:paraId="70664A93" w14:textId="77777777" w:rsidR="00F33D91" w:rsidRDefault="00F33D91" w:rsidP="00F33D91">
      <w:pPr>
        <w:pStyle w:val="Sarakstarindkopa"/>
        <w:numPr>
          <w:ilvl w:val="0"/>
          <w:numId w:val="2"/>
        </w:numPr>
        <w:spacing w:after="0" w:line="240" w:lineRule="auto"/>
        <w:ind w:left="284" w:hanging="284"/>
        <w:jc w:val="both"/>
      </w:pPr>
      <w:r>
        <w:t>Projekta pieteikumu dalībai konkursā var iesniegt fiziska persona, biedrība vai nodibinājums, kurā nav pašvaldības dalības, atbilstoši Pašvaldību likuma 60. panta trešās daļas 1. punktam (turpmāk – iesniedzējs).</w:t>
      </w:r>
    </w:p>
    <w:p w14:paraId="1F47E27D" w14:textId="77777777" w:rsidR="00F33D91" w:rsidRDefault="00F33D91" w:rsidP="00F33D91">
      <w:pPr>
        <w:pStyle w:val="Sarakstarindkopa"/>
        <w:numPr>
          <w:ilvl w:val="0"/>
          <w:numId w:val="2"/>
        </w:numPr>
        <w:spacing w:after="0" w:line="240" w:lineRule="auto"/>
        <w:ind w:left="284" w:hanging="284"/>
      </w:pPr>
      <w:r>
        <w:t>Konkursa projekta ideja atbilst šādiem kritērijiem:</w:t>
      </w:r>
    </w:p>
    <w:p w14:paraId="23C89D45" w14:textId="77777777" w:rsidR="00F33D91" w:rsidRDefault="00F33D91" w:rsidP="00F33D91">
      <w:pPr>
        <w:pStyle w:val="Sarakstarindkopa"/>
        <w:numPr>
          <w:ilvl w:val="1"/>
          <w:numId w:val="2"/>
        </w:numPr>
        <w:spacing w:after="0" w:line="240" w:lineRule="auto"/>
        <w:jc w:val="both"/>
      </w:pPr>
      <w:r>
        <w:t xml:space="preserve"> projekta koptāme nepārsniedz kopējo pašvaldības budžeta gadā šim mērķim paredzēto finansējumu (ieskaitot visus nodokļu maksājumus);</w:t>
      </w:r>
    </w:p>
    <w:p w14:paraId="62461AF5" w14:textId="77777777" w:rsidR="00F33D91" w:rsidRDefault="00F33D91" w:rsidP="00F33D91">
      <w:pPr>
        <w:pStyle w:val="Sarakstarindkopa"/>
        <w:numPr>
          <w:ilvl w:val="1"/>
          <w:numId w:val="2"/>
        </w:numPr>
        <w:spacing w:after="0" w:line="240" w:lineRule="auto"/>
      </w:pPr>
      <w:r>
        <w:t>projekts paredz ieguldījumu publiskā lietošanā esošā pašvaldības īpašumā;</w:t>
      </w:r>
    </w:p>
    <w:p w14:paraId="3685205E" w14:textId="77777777" w:rsidR="00F33D91" w:rsidRDefault="00F33D91" w:rsidP="00F33D91">
      <w:pPr>
        <w:pStyle w:val="Sarakstarindkopa"/>
        <w:numPr>
          <w:ilvl w:val="1"/>
          <w:numId w:val="2"/>
        </w:numPr>
        <w:spacing w:after="0" w:line="240" w:lineRule="auto"/>
        <w:jc w:val="both"/>
      </w:pPr>
      <w:r>
        <w:t xml:space="preserve">paredzētie ieguldījumi ir ekonomiski pamatoti, projekta tāmē ir iekļautas visas izmaksas (t.sk. teritorijas izpēte, būvprojekta izstrāde, autoruzraudzība, būvuzraudzība, ja attiecināms) un </w:t>
      </w:r>
      <w:r w:rsidRPr="004104D3">
        <w:t>to ir iespējams īstenot atbilstoši</w:t>
      </w:r>
      <w:r>
        <w:t xml:space="preserve"> tāmē norādītajam;</w:t>
      </w:r>
    </w:p>
    <w:p w14:paraId="2C377730" w14:textId="77777777" w:rsidR="00F33D91" w:rsidRDefault="00F33D91" w:rsidP="00F33D91">
      <w:pPr>
        <w:pStyle w:val="Sarakstarindkopa"/>
        <w:numPr>
          <w:ilvl w:val="1"/>
          <w:numId w:val="2"/>
        </w:numPr>
        <w:spacing w:after="0" w:line="240" w:lineRule="auto"/>
        <w:jc w:val="both"/>
      </w:pPr>
      <w:r>
        <w:t>projektā plānotās darbības netiek finansētas no citām pašvaldības atbalsta programmām vai citiem finansējuma avotiem (t.sk. ziedojumiem un dāvinājumiem);</w:t>
      </w:r>
    </w:p>
    <w:p w14:paraId="66E43963" w14:textId="77777777" w:rsidR="00F33D91" w:rsidRDefault="00F33D91" w:rsidP="00F33D91">
      <w:pPr>
        <w:pStyle w:val="Sarakstarindkopa"/>
        <w:numPr>
          <w:ilvl w:val="1"/>
          <w:numId w:val="2"/>
        </w:numPr>
        <w:spacing w:after="0" w:line="240" w:lineRule="auto"/>
        <w:jc w:val="both"/>
      </w:pPr>
      <w:r>
        <w:t>projekta mērķis nodrošina pašvaldības autonomo funkciju īstenošanu saskaņā ar Pašvaldību likuma 4. pantu;</w:t>
      </w:r>
    </w:p>
    <w:p w14:paraId="5C7A79B5" w14:textId="77777777" w:rsidR="00F33D91" w:rsidRDefault="00F33D91" w:rsidP="00F33D91">
      <w:pPr>
        <w:pStyle w:val="Sarakstarindkopa"/>
        <w:numPr>
          <w:ilvl w:val="1"/>
          <w:numId w:val="2"/>
        </w:numPr>
        <w:spacing w:after="0" w:line="240" w:lineRule="auto"/>
        <w:jc w:val="both"/>
      </w:pPr>
      <w:r>
        <w:t>projekts paredz paliekošas, sabiedriski nozīmīgas, publiski plaši pieejamas jaunas infrastruktūras radīšanu vai jau esošas infrastruktūras uzlabošanu;</w:t>
      </w:r>
    </w:p>
    <w:p w14:paraId="619C006D" w14:textId="77777777" w:rsidR="00F33D91" w:rsidRDefault="00F33D91" w:rsidP="00F33D91">
      <w:pPr>
        <w:pStyle w:val="Sarakstarindkopa"/>
        <w:numPr>
          <w:ilvl w:val="1"/>
          <w:numId w:val="2"/>
        </w:numPr>
        <w:spacing w:after="0" w:line="240" w:lineRule="auto"/>
        <w:jc w:val="both"/>
      </w:pPr>
      <w:r>
        <w:t>projekta ideja atbilst pašvaldības attīstības programmas rīcības plāna uzdevumiem un teritorijas plānojumam;</w:t>
      </w:r>
    </w:p>
    <w:p w14:paraId="38C9301D" w14:textId="77777777" w:rsidR="00F33D91" w:rsidRDefault="00F33D91" w:rsidP="00F33D91">
      <w:pPr>
        <w:pStyle w:val="Sarakstarindkopa"/>
        <w:numPr>
          <w:ilvl w:val="1"/>
          <w:numId w:val="2"/>
        </w:numPr>
        <w:spacing w:after="0" w:line="240" w:lineRule="auto"/>
        <w:jc w:val="both"/>
      </w:pPr>
      <w:r>
        <w:t>projektam nav komerciāla, reliģiska vai politiska rakstura;</w:t>
      </w:r>
    </w:p>
    <w:p w14:paraId="19478C33" w14:textId="77777777" w:rsidR="00F33D91" w:rsidRDefault="00F33D91" w:rsidP="00F33D91">
      <w:pPr>
        <w:pStyle w:val="Sarakstarindkopa"/>
        <w:numPr>
          <w:ilvl w:val="1"/>
          <w:numId w:val="2"/>
        </w:numPr>
        <w:spacing w:after="0" w:line="240" w:lineRule="auto"/>
        <w:jc w:val="both"/>
      </w:pPr>
      <w:r>
        <w:lastRenderedPageBreak/>
        <w:t>projekts paredz pilnīgu iesniegtās idejas realizēšanu vienā kārtā.</w:t>
      </w:r>
    </w:p>
    <w:p w14:paraId="68DA34D3" w14:textId="77777777" w:rsidR="00F33D91" w:rsidRDefault="00F33D91" w:rsidP="00F33D91">
      <w:pPr>
        <w:pStyle w:val="Sarakstarindkopa"/>
        <w:numPr>
          <w:ilvl w:val="0"/>
          <w:numId w:val="2"/>
        </w:numPr>
        <w:spacing w:after="0" w:line="240" w:lineRule="auto"/>
        <w:ind w:left="426" w:hanging="426"/>
        <w:jc w:val="both"/>
      </w:pPr>
      <w:r>
        <w:t xml:space="preserve">Projekta pieteikumu iesniedz portālā </w:t>
      </w:r>
      <w:hyperlink r:id="rId7" w:history="1">
        <w:r w:rsidRPr="00295E5D">
          <w:rPr>
            <w:rStyle w:val="Hipersaite"/>
          </w:rPr>
          <w:t>www.geolatvija.lv</w:t>
        </w:r>
      </w:hyperlink>
      <w:r>
        <w:t>,</w:t>
      </w:r>
      <w:r w:rsidRPr="004C6A5F">
        <w:t xml:space="preserve"> aizpildot projekta pieteikuma formu, un pievieno:</w:t>
      </w:r>
    </w:p>
    <w:p w14:paraId="16297A9E" w14:textId="77777777" w:rsidR="00F33D91" w:rsidRDefault="00F33D91" w:rsidP="00F33D91">
      <w:pPr>
        <w:pStyle w:val="Sarakstarindkopa"/>
        <w:numPr>
          <w:ilvl w:val="1"/>
          <w:numId w:val="2"/>
        </w:numPr>
        <w:spacing w:after="0" w:line="240" w:lineRule="auto"/>
        <w:ind w:left="851" w:hanging="491"/>
        <w:jc w:val="both"/>
      </w:pPr>
      <w:r>
        <w:t xml:space="preserve">projekta idejas skici, norādot būtisko elementu izmērus un izvietojumu uz zemesgabala robežu plāna </w:t>
      </w:r>
      <w:r w:rsidRPr="0015456B">
        <w:t xml:space="preserve">vai izdrukas no tīmekļvietnes </w:t>
      </w:r>
      <w:hyperlink r:id="rId8" w:history="1">
        <w:r w:rsidRPr="0015456B">
          <w:rPr>
            <w:rStyle w:val="Hipersaite"/>
          </w:rPr>
          <w:t>www.kadastrs.lv</w:t>
        </w:r>
      </w:hyperlink>
      <w:r w:rsidRPr="0015456B">
        <w:t xml:space="preserve">, </w:t>
      </w:r>
      <w:hyperlink r:id="rId9" w:history="1">
        <w:r w:rsidRPr="0015456B">
          <w:rPr>
            <w:rStyle w:val="Hipersaite"/>
          </w:rPr>
          <w:t>www.topografija.lv</w:t>
        </w:r>
      </w:hyperlink>
      <w:r w:rsidRPr="0015456B">
        <w:t xml:space="preserve"> vai </w:t>
      </w:r>
      <w:r>
        <w:t xml:space="preserve">portāla </w:t>
      </w:r>
      <w:hyperlink r:id="rId10" w:history="1">
        <w:r w:rsidRPr="00295E5D">
          <w:rPr>
            <w:rStyle w:val="Hipersaite"/>
          </w:rPr>
          <w:t>www.geolatvija.lv</w:t>
        </w:r>
      </w:hyperlink>
      <w:r>
        <w:t>;</w:t>
      </w:r>
    </w:p>
    <w:p w14:paraId="5051AB75" w14:textId="77777777" w:rsidR="00F33D91" w:rsidRDefault="00F33D91" w:rsidP="00F33D91">
      <w:pPr>
        <w:pStyle w:val="Sarakstarindkopa"/>
        <w:numPr>
          <w:ilvl w:val="1"/>
          <w:numId w:val="2"/>
        </w:numPr>
        <w:spacing w:after="0" w:line="240" w:lineRule="auto"/>
        <w:ind w:left="851" w:hanging="491"/>
        <w:jc w:val="both"/>
      </w:pPr>
      <w:r>
        <w:t>infrastruktūras attīstības elementu vizuālos materiālus;</w:t>
      </w:r>
    </w:p>
    <w:p w14:paraId="682B79D9" w14:textId="77777777" w:rsidR="00F33D91" w:rsidRDefault="00F33D91" w:rsidP="00F33D91">
      <w:pPr>
        <w:pStyle w:val="Sarakstarindkopa"/>
        <w:numPr>
          <w:ilvl w:val="1"/>
          <w:numId w:val="2"/>
        </w:numPr>
        <w:spacing w:after="0" w:line="240" w:lineRule="auto"/>
        <w:ind w:left="851" w:hanging="491"/>
        <w:jc w:val="both"/>
      </w:pPr>
      <w:r>
        <w:t>projekta tāmi;</w:t>
      </w:r>
    </w:p>
    <w:p w14:paraId="66EE6B92" w14:textId="77777777" w:rsidR="00F33D91" w:rsidRDefault="00F33D91" w:rsidP="00F33D91">
      <w:pPr>
        <w:pStyle w:val="Sarakstarindkopa"/>
        <w:numPr>
          <w:ilvl w:val="1"/>
          <w:numId w:val="2"/>
        </w:numPr>
        <w:spacing w:after="0" w:line="240" w:lineRule="auto"/>
        <w:ind w:left="851" w:hanging="491"/>
        <w:jc w:val="both"/>
      </w:pPr>
      <w:r>
        <w:t>dokumentu, kas apliecina pilnvarotās personas tiesības rīkoties iesniedzēja vārdā (ja attiecināms).</w:t>
      </w:r>
    </w:p>
    <w:p w14:paraId="63A1B5E6" w14:textId="77777777" w:rsidR="00F33D91" w:rsidRDefault="00F33D91" w:rsidP="00F33D91">
      <w:pPr>
        <w:pStyle w:val="Sarakstarindkopa"/>
        <w:numPr>
          <w:ilvl w:val="0"/>
          <w:numId w:val="2"/>
        </w:numPr>
        <w:spacing w:after="0" w:line="240" w:lineRule="auto"/>
        <w:ind w:left="426" w:hanging="426"/>
        <w:jc w:val="both"/>
      </w:pPr>
      <w:r>
        <w:t>Iesniedzot projektu, iesniedzējs piekrīt, ka pašvaldība ir tiesīga saprātīgi samazināt projektā pieteiktās darbības, lai projekta īstenošanas faktiskās izmaksas iekļautos tā īstenošanai paredzētajā tāmē.</w:t>
      </w:r>
    </w:p>
    <w:p w14:paraId="4DCC2E0B" w14:textId="77777777" w:rsidR="00F33D91" w:rsidRDefault="00F33D91" w:rsidP="00F33D91">
      <w:pPr>
        <w:pStyle w:val="Sarakstarindkopa"/>
        <w:numPr>
          <w:ilvl w:val="0"/>
          <w:numId w:val="2"/>
        </w:numPr>
        <w:spacing w:after="0" w:line="240" w:lineRule="auto"/>
        <w:ind w:left="426" w:hanging="426"/>
        <w:jc w:val="both"/>
      </w:pPr>
      <w:r>
        <w:t>Projekta pieteikumu sagatavo datorrakstā, valsts valodā.</w:t>
      </w:r>
    </w:p>
    <w:p w14:paraId="2D0F2EA5" w14:textId="77777777" w:rsidR="00F33D91" w:rsidRDefault="00F33D91" w:rsidP="00F33D91">
      <w:pPr>
        <w:pStyle w:val="Sarakstarindkopa"/>
        <w:numPr>
          <w:ilvl w:val="0"/>
          <w:numId w:val="2"/>
        </w:numPr>
        <w:spacing w:after="0" w:line="240" w:lineRule="auto"/>
        <w:ind w:left="426" w:hanging="426"/>
        <w:jc w:val="both"/>
      </w:pPr>
      <w:r w:rsidRPr="00585549">
        <w:t>Iesniedzējs konkursam var iesniegt neierobežotu skaitu projektu pieteikumu</w:t>
      </w:r>
      <w:r>
        <w:t>.</w:t>
      </w:r>
    </w:p>
    <w:p w14:paraId="3A7D30D4" w14:textId="77777777" w:rsidR="00F33D91" w:rsidRDefault="00F33D91" w:rsidP="00F33D91">
      <w:pPr>
        <w:pStyle w:val="Sarakstarindkopa"/>
        <w:numPr>
          <w:ilvl w:val="0"/>
          <w:numId w:val="2"/>
        </w:numPr>
        <w:spacing w:after="0" w:line="240" w:lineRule="auto"/>
        <w:ind w:left="426" w:hanging="426"/>
        <w:jc w:val="both"/>
      </w:pPr>
      <w:r>
        <w:t>Iesniedzējs ir tiesīgs līdz pieteikumu iesniegšanas termiņa beigām</w:t>
      </w:r>
      <w:r w:rsidRPr="006D11BA">
        <w:t xml:space="preserve"> </w:t>
      </w:r>
      <w:r>
        <w:t>grozīt vai atsaukt iesniegto projekta pieteikumu.</w:t>
      </w:r>
    </w:p>
    <w:p w14:paraId="6FC71A64" w14:textId="77777777" w:rsidR="00F33D91" w:rsidRDefault="00F33D91" w:rsidP="00F33D91">
      <w:pPr>
        <w:pStyle w:val="Sarakstarindkopa"/>
        <w:numPr>
          <w:ilvl w:val="0"/>
          <w:numId w:val="2"/>
        </w:numPr>
        <w:spacing w:after="0" w:line="240" w:lineRule="auto"/>
        <w:ind w:left="425" w:hanging="425"/>
        <w:jc w:val="both"/>
      </w:pPr>
      <w:r>
        <w:t>Visas ar projekta pieteikuma sagatavošanu un iesniegšanu saistītās izmaksas sedz iesniedzējs.</w:t>
      </w:r>
    </w:p>
    <w:p w14:paraId="444C6550" w14:textId="77777777" w:rsidR="00F33D91" w:rsidRPr="006D522E" w:rsidRDefault="00F33D91" w:rsidP="00F33D91">
      <w:pPr>
        <w:pStyle w:val="Sarakstarindkopa"/>
        <w:spacing w:after="0" w:line="240" w:lineRule="auto"/>
        <w:ind w:left="425"/>
        <w:jc w:val="both"/>
      </w:pPr>
    </w:p>
    <w:p w14:paraId="41D798FC" w14:textId="77777777" w:rsidR="00F33D91" w:rsidRDefault="00F33D91" w:rsidP="00F33D91">
      <w:pPr>
        <w:pStyle w:val="Sarakstarindkopa"/>
        <w:numPr>
          <w:ilvl w:val="0"/>
          <w:numId w:val="1"/>
        </w:numPr>
        <w:spacing w:after="0" w:line="240" w:lineRule="auto"/>
        <w:ind w:left="284" w:hanging="284"/>
        <w:jc w:val="center"/>
        <w:rPr>
          <w:b/>
          <w:bCs/>
        </w:rPr>
      </w:pPr>
      <w:r>
        <w:rPr>
          <w:b/>
          <w:bCs/>
        </w:rPr>
        <w:t>Īstenojamo projektu noteikšana</w:t>
      </w:r>
    </w:p>
    <w:p w14:paraId="0714DD1B" w14:textId="77777777" w:rsidR="00F33D91" w:rsidRDefault="00F33D91" w:rsidP="00F33D91">
      <w:pPr>
        <w:pStyle w:val="Sarakstarindkopa"/>
        <w:numPr>
          <w:ilvl w:val="0"/>
          <w:numId w:val="2"/>
        </w:numPr>
        <w:spacing w:after="0" w:line="240" w:lineRule="auto"/>
        <w:ind w:left="426" w:hanging="426"/>
      </w:pPr>
      <w:r>
        <w:t>Projektu atlase notiek atklātā konkursā.</w:t>
      </w:r>
    </w:p>
    <w:p w14:paraId="46731B51" w14:textId="77777777" w:rsidR="00F33D91" w:rsidRDefault="00F33D91" w:rsidP="00F33D91">
      <w:pPr>
        <w:pStyle w:val="Sarakstarindkopa"/>
        <w:numPr>
          <w:ilvl w:val="0"/>
          <w:numId w:val="2"/>
        </w:numPr>
        <w:spacing w:after="0" w:line="240" w:lineRule="auto"/>
        <w:ind w:left="426" w:hanging="426"/>
        <w:jc w:val="both"/>
      </w:pPr>
      <w:r>
        <w:t>Konkursu izsludina ar pašvaldības izpilddirektora rīkojumu pēc pašvaldības budžeta apstiprināšanas.</w:t>
      </w:r>
    </w:p>
    <w:p w14:paraId="48EBC958" w14:textId="77777777" w:rsidR="00F33D91" w:rsidRDefault="00F33D91" w:rsidP="00F33D91">
      <w:pPr>
        <w:pStyle w:val="Sarakstarindkopa"/>
        <w:numPr>
          <w:ilvl w:val="0"/>
          <w:numId w:val="2"/>
        </w:numPr>
        <w:spacing w:after="0" w:line="240" w:lineRule="auto"/>
        <w:ind w:left="426" w:hanging="426"/>
        <w:jc w:val="both"/>
      </w:pPr>
      <w:r>
        <w:t xml:space="preserve">Pašvaldības Centrālā administrācija </w:t>
      </w:r>
      <w:r w:rsidRPr="00131254">
        <w:t>10 darba dienu laikā pēc pieteikumu iesniegšanas termiņa beigām</w:t>
      </w:r>
      <w:r>
        <w:t xml:space="preserve"> izvērtē konkursam iesniegto projektu pieteikumu atbilstību normatīvajiem aktiem, nolikumā noteiktajiem kritērijiem un veic projekta idejas īstenošanas iespējamības pārbaudi</w:t>
      </w:r>
      <w:r w:rsidRPr="00585549">
        <w:t>. Projektu atbilstības pārbaudes termiņu var pagarināt līdz 20 darba dienām, ja nepieciešams saņemt papildu informāciju no iesniedzēja vai viedokli no citām pašvaldības iestādēm vai nozaru speciālistiem</w:t>
      </w:r>
      <w:r>
        <w:t>.</w:t>
      </w:r>
    </w:p>
    <w:p w14:paraId="1898036C" w14:textId="77777777" w:rsidR="00F33D91" w:rsidRDefault="00F33D91" w:rsidP="00F33D91">
      <w:pPr>
        <w:pStyle w:val="Sarakstarindkopa"/>
        <w:numPr>
          <w:ilvl w:val="0"/>
          <w:numId w:val="2"/>
        </w:numPr>
        <w:spacing w:after="0" w:line="240" w:lineRule="auto"/>
        <w:ind w:left="426" w:hanging="426"/>
        <w:jc w:val="both"/>
      </w:pPr>
      <w:r>
        <w:t>Projektu idejas, kas atbilst nolikumā noteiktajiem atlases kritērijiem, ar izpilddirektora rīkojumu tiek nodotas sabiedrības balsojumam.</w:t>
      </w:r>
    </w:p>
    <w:p w14:paraId="1AC80088" w14:textId="77777777" w:rsidR="00F33D91" w:rsidRDefault="00F33D91" w:rsidP="00F33D91">
      <w:pPr>
        <w:pStyle w:val="Sarakstarindkopa"/>
        <w:numPr>
          <w:ilvl w:val="0"/>
          <w:numId w:val="2"/>
        </w:numPr>
        <w:spacing w:after="0" w:line="240" w:lineRule="auto"/>
        <w:ind w:left="426" w:hanging="426"/>
        <w:jc w:val="both"/>
      </w:pPr>
      <w:r>
        <w:t xml:space="preserve">Balsošana par projektiem notiek elektroniski portālā </w:t>
      </w:r>
      <w:hyperlink r:id="rId11" w:history="1">
        <w:r w:rsidRPr="00295E5D">
          <w:rPr>
            <w:rStyle w:val="Hipersaite"/>
          </w:rPr>
          <w:t>www.geolatvija.lv</w:t>
        </w:r>
      </w:hyperlink>
      <w:r w:rsidRPr="003131C5">
        <w:t xml:space="preserve"> 14 dienas.</w:t>
      </w:r>
    </w:p>
    <w:p w14:paraId="05C92106" w14:textId="77777777" w:rsidR="00F33D91" w:rsidRDefault="00F33D91" w:rsidP="00F33D91">
      <w:pPr>
        <w:pStyle w:val="Sarakstarindkopa"/>
        <w:numPr>
          <w:ilvl w:val="0"/>
          <w:numId w:val="2"/>
        </w:numPr>
        <w:spacing w:after="0" w:line="240" w:lineRule="auto"/>
        <w:ind w:left="426" w:hanging="426"/>
        <w:jc w:val="both"/>
      </w:pPr>
      <w:r>
        <w:t xml:space="preserve">Autorizējoties portālā </w:t>
      </w:r>
      <w:hyperlink r:id="rId12" w:history="1">
        <w:r w:rsidRPr="00802201">
          <w:rPr>
            <w:rStyle w:val="Hipersaite"/>
          </w:rPr>
          <w:t>www.geolatvija.lv</w:t>
        </w:r>
      </w:hyperlink>
      <w:r>
        <w:rPr>
          <w:rStyle w:val="Hipersaite"/>
        </w:rPr>
        <w:t>,</w:t>
      </w:r>
      <w:r>
        <w:t xml:space="preserve"> tiek pārbaudīta personas identitāte un atbilstība balsot tiesīgās personas kritērijam saskaņā ar Pašvaldību likuma 60. panta ceturtajai daļai – pašvaldības administratīvajā teritorijā deklarēta fiziskā persona, kura sasniegusi vismaz 16 gadu vecumu. </w:t>
      </w:r>
    </w:p>
    <w:p w14:paraId="10049ED3" w14:textId="77777777" w:rsidR="00F33D91" w:rsidRDefault="00F33D91" w:rsidP="00F33D91">
      <w:pPr>
        <w:pStyle w:val="Sarakstarindkopa"/>
        <w:numPr>
          <w:ilvl w:val="0"/>
          <w:numId w:val="2"/>
        </w:numPr>
        <w:spacing w:after="0" w:line="240" w:lineRule="auto"/>
        <w:ind w:left="426" w:hanging="426"/>
        <w:jc w:val="both"/>
      </w:pPr>
      <w:r>
        <w:t>Projekta pieteikumu nevirza sabiedrības balsojumam, ja:</w:t>
      </w:r>
    </w:p>
    <w:p w14:paraId="1C4DCE9C" w14:textId="77777777" w:rsidR="00F33D91" w:rsidRDefault="00F33D91" w:rsidP="00F33D91">
      <w:pPr>
        <w:pStyle w:val="Sarakstarindkopa"/>
        <w:numPr>
          <w:ilvl w:val="1"/>
          <w:numId w:val="2"/>
        </w:numPr>
        <w:spacing w:after="0" w:line="240" w:lineRule="auto"/>
        <w:ind w:left="993" w:hanging="633"/>
        <w:jc w:val="both"/>
      </w:pPr>
      <w:r>
        <w:t>projekta pieteikums neatbilst normatīvo aktu prasībām;</w:t>
      </w:r>
    </w:p>
    <w:p w14:paraId="6FFBF4DC" w14:textId="77777777" w:rsidR="00F33D91" w:rsidRDefault="00F33D91" w:rsidP="00F33D91">
      <w:pPr>
        <w:pStyle w:val="Sarakstarindkopa"/>
        <w:numPr>
          <w:ilvl w:val="1"/>
          <w:numId w:val="2"/>
        </w:numPr>
        <w:spacing w:after="0" w:line="240" w:lineRule="auto"/>
        <w:ind w:left="993" w:hanging="633"/>
        <w:jc w:val="both"/>
      </w:pPr>
      <w:r>
        <w:t>projekta pieteikums neatbilst nolikumā noteiktajām prasībām un atbilstības kritērijiem;</w:t>
      </w:r>
    </w:p>
    <w:p w14:paraId="2FED92FC" w14:textId="77777777" w:rsidR="00F33D91" w:rsidRDefault="00F33D91" w:rsidP="00F33D91">
      <w:pPr>
        <w:pStyle w:val="Sarakstarindkopa"/>
        <w:numPr>
          <w:ilvl w:val="1"/>
          <w:numId w:val="2"/>
        </w:numPr>
        <w:spacing w:after="0" w:line="240" w:lineRule="auto"/>
        <w:ind w:left="993" w:hanging="633"/>
        <w:jc w:val="both"/>
      </w:pPr>
      <w:r>
        <w:t>projekta īstenošana tiek atzīta par neiespējamu;</w:t>
      </w:r>
    </w:p>
    <w:p w14:paraId="482C9926" w14:textId="77777777" w:rsidR="00F33D91" w:rsidRDefault="00F33D91" w:rsidP="00F33D91">
      <w:pPr>
        <w:pStyle w:val="Sarakstarindkopa"/>
        <w:numPr>
          <w:ilvl w:val="1"/>
          <w:numId w:val="2"/>
        </w:numPr>
        <w:spacing w:after="0" w:line="240" w:lineRule="auto"/>
        <w:ind w:left="993" w:hanging="633"/>
        <w:jc w:val="both"/>
      </w:pPr>
      <w:r>
        <w:t>projekta īstenošanu nav iespējams uzsākt trīs mēnešu laikā pēc konkursa rezultātu paziņošanas un īstenot divu gadu laikā.</w:t>
      </w:r>
    </w:p>
    <w:p w14:paraId="71FC2B35" w14:textId="77777777" w:rsidR="00F33D91" w:rsidRDefault="00F33D91" w:rsidP="00F33D91">
      <w:pPr>
        <w:pStyle w:val="Sarakstarindkopa"/>
        <w:numPr>
          <w:ilvl w:val="0"/>
          <w:numId w:val="2"/>
        </w:numPr>
        <w:spacing w:after="0" w:line="240" w:lineRule="auto"/>
        <w:ind w:left="426" w:hanging="426"/>
        <w:jc w:val="both"/>
      </w:pPr>
      <w:r>
        <w:t>Konkursu izbeidz bez rezultāta, ja:</w:t>
      </w:r>
    </w:p>
    <w:p w14:paraId="72127960" w14:textId="77777777" w:rsidR="00F33D91" w:rsidRDefault="00F33D91" w:rsidP="00F33D91">
      <w:pPr>
        <w:pStyle w:val="Sarakstarindkopa"/>
        <w:numPr>
          <w:ilvl w:val="1"/>
          <w:numId w:val="2"/>
        </w:numPr>
        <w:spacing w:after="0" w:line="240" w:lineRule="auto"/>
        <w:ind w:left="993" w:hanging="633"/>
        <w:jc w:val="both"/>
      </w:pPr>
      <w:r>
        <w:t>noteiktajā termiņā nav iesniegts neviens projekta pieteikums;</w:t>
      </w:r>
    </w:p>
    <w:p w14:paraId="49C75215" w14:textId="77777777" w:rsidR="00F33D91" w:rsidRDefault="00F33D91" w:rsidP="00F33D91">
      <w:pPr>
        <w:pStyle w:val="Sarakstarindkopa"/>
        <w:numPr>
          <w:ilvl w:val="1"/>
          <w:numId w:val="2"/>
        </w:numPr>
        <w:spacing w:after="0" w:line="240" w:lineRule="auto"/>
        <w:ind w:left="993" w:hanging="633"/>
        <w:jc w:val="both"/>
      </w:pPr>
      <w:r>
        <w:t>visi iesniegtie projekta pieteikumi tiek noraidīti;</w:t>
      </w:r>
    </w:p>
    <w:p w14:paraId="7EA4D35B" w14:textId="77777777" w:rsidR="00F33D91" w:rsidRDefault="00F33D91" w:rsidP="00F33D91">
      <w:pPr>
        <w:pStyle w:val="Sarakstarindkopa"/>
        <w:numPr>
          <w:ilvl w:val="1"/>
          <w:numId w:val="2"/>
        </w:numPr>
        <w:spacing w:after="0" w:line="240" w:lineRule="auto"/>
        <w:ind w:left="993" w:hanging="633"/>
        <w:jc w:val="both"/>
      </w:pPr>
      <w:r>
        <w:t>tiek konstatēts cits būtisks apstāklis, kas liedz turpināt konkursa norisi.</w:t>
      </w:r>
    </w:p>
    <w:p w14:paraId="144D4133" w14:textId="77777777" w:rsidR="00F33D91" w:rsidRDefault="00F33D91" w:rsidP="00F33D91">
      <w:pPr>
        <w:pStyle w:val="Sarakstarindkopa"/>
        <w:numPr>
          <w:ilvl w:val="0"/>
          <w:numId w:val="2"/>
        </w:numPr>
        <w:spacing w:after="0" w:line="240" w:lineRule="auto"/>
        <w:ind w:left="426" w:hanging="426"/>
        <w:jc w:val="both"/>
      </w:pPr>
      <w:r>
        <w:t>Vienā konkursa uzsaukumā pieejamā finansējuma ietvaros par uzvarējušiem atzīst ne vairāk kā 2 projektus, kas sabiedrības balsojuma rezultātā saņēmuši secīgi visaugstāko novērtējumu.</w:t>
      </w:r>
    </w:p>
    <w:p w14:paraId="72CAEDCF" w14:textId="77777777" w:rsidR="00F33D91" w:rsidRPr="00585549" w:rsidRDefault="00F33D91" w:rsidP="00F33D91">
      <w:pPr>
        <w:pStyle w:val="Sarakstarindkopa"/>
        <w:numPr>
          <w:ilvl w:val="0"/>
          <w:numId w:val="2"/>
        </w:numPr>
        <w:spacing w:after="0" w:line="240" w:lineRule="auto"/>
        <w:ind w:left="426" w:hanging="426"/>
        <w:jc w:val="both"/>
      </w:pPr>
      <w:r>
        <w:lastRenderedPageBreak/>
        <w:t xml:space="preserve">Ja sabiedrības balsojuma rezultātā vairāki projekti saņem vienādu balsu skaitu, bet </w:t>
      </w:r>
      <w:r w:rsidRPr="00585549">
        <w:t>finansējums ir pietiekams tikai viena vai divu projektu īstenošanai, uzvarējušos projektus nosaka pieteikumu iesniegšanas secībā.</w:t>
      </w:r>
    </w:p>
    <w:p w14:paraId="6E120573" w14:textId="77777777" w:rsidR="00F33D91" w:rsidRPr="00585549" w:rsidRDefault="00F33D91" w:rsidP="00F33D91">
      <w:pPr>
        <w:pStyle w:val="Sarakstarindkopa"/>
        <w:numPr>
          <w:ilvl w:val="0"/>
          <w:numId w:val="2"/>
        </w:numPr>
        <w:spacing w:after="0" w:line="240" w:lineRule="auto"/>
        <w:ind w:left="426" w:hanging="426"/>
        <w:jc w:val="both"/>
      </w:pPr>
      <w:r w:rsidRPr="00585549">
        <w:t>Atbilstoši sabiedrības balsojuma rezultāt</w:t>
      </w:r>
      <w:r>
        <w:t>ie</w:t>
      </w:r>
      <w:r w:rsidRPr="00585549">
        <w:t>m izpilddirektors apstiprina uzvarējušos projektus un nosaka par projekta īstenošanu atbildīgo pašvaldības administrācijas iestādi. Pirms uzsākt projekta īstenošan</w:t>
      </w:r>
      <w:r>
        <w:t>u</w:t>
      </w:r>
      <w:r w:rsidRPr="00585549">
        <w:t>, pašvaldība sadarbībā ar iesniedzēju ir tiesīga to uzlabot, vienlaicīgi saglabājot projekta funkcionalitāti maksimāli tuvu iesniegtajai projekta idejai.</w:t>
      </w:r>
    </w:p>
    <w:p w14:paraId="4467F24E" w14:textId="77777777" w:rsidR="00F33D91" w:rsidRDefault="00F33D91" w:rsidP="00F33D91">
      <w:pPr>
        <w:pStyle w:val="Sarakstarindkopa"/>
        <w:numPr>
          <w:ilvl w:val="0"/>
          <w:numId w:val="2"/>
        </w:numPr>
        <w:spacing w:after="0" w:line="240" w:lineRule="auto"/>
        <w:ind w:left="426" w:hanging="426"/>
        <w:jc w:val="both"/>
      </w:pPr>
      <w:r w:rsidRPr="00585549">
        <w:t>Paziņojums</w:t>
      </w:r>
      <w:r>
        <w:t xml:space="preserve"> par konkursa rezultātiem tiek publicēts pašvaldības tīmekļvietnē </w:t>
      </w:r>
      <w:hyperlink r:id="rId13" w:history="1">
        <w:r w:rsidRPr="00802201">
          <w:rPr>
            <w:rStyle w:val="Hipersaite"/>
          </w:rPr>
          <w:t>www.aluksne.lv</w:t>
        </w:r>
      </w:hyperlink>
      <w:r>
        <w:t xml:space="preserve"> un portālā </w:t>
      </w:r>
      <w:hyperlink r:id="rId14" w:history="1">
        <w:r w:rsidRPr="00802201">
          <w:rPr>
            <w:rStyle w:val="Hipersaite"/>
          </w:rPr>
          <w:t>www.geolatvija.lv</w:t>
        </w:r>
      </w:hyperlink>
      <w:r>
        <w:t>, norādot projekta nosaukumu, īstenošanas vietu un iesniedzēju.</w:t>
      </w:r>
    </w:p>
    <w:p w14:paraId="62C778F8" w14:textId="77777777" w:rsidR="00F33D91" w:rsidRDefault="00F33D91" w:rsidP="00F33D91">
      <w:pPr>
        <w:pStyle w:val="Sarakstarindkopa"/>
        <w:numPr>
          <w:ilvl w:val="0"/>
          <w:numId w:val="2"/>
        </w:numPr>
        <w:spacing w:after="0" w:line="240" w:lineRule="auto"/>
        <w:ind w:left="426" w:hanging="426"/>
        <w:jc w:val="both"/>
      </w:pPr>
      <w:r>
        <w:t>Projekti, kuri sabiedrības balsojumā nav saņēmuši pietiekamu balsu skaitu, tiek atstāti bez virzības.</w:t>
      </w:r>
    </w:p>
    <w:p w14:paraId="1978ABBF" w14:textId="77777777" w:rsidR="00F33D91" w:rsidRDefault="00F33D91" w:rsidP="00F33D91">
      <w:pPr>
        <w:pStyle w:val="Sarakstarindkopa"/>
        <w:numPr>
          <w:ilvl w:val="0"/>
          <w:numId w:val="2"/>
        </w:numPr>
        <w:spacing w:after="0" w:line="240" w:lineRule="auto"/>
        <w:ind w:left="426" w:hanging="426"/>
        <w:jc w:val="both"/>
      </w:pPr>
      <w:r>
        <w:t xml:space="preserve">Uzvarējušo projektu īstenošanai vienā budžeta gadā neizmantotais finansējums attiecīgo projektu īstenošanai tiek pārcelts uz nākošo pašvaldības budžeta gadu. </w:t>
      </w:r>
    </w:p>
    <w:p w14:paraId="45617635" w14:textId="77777777" w:rsidR="00F33D91" w:rsidRPr="00AF7A03" w:rsidRDefault="00F33D91" w:rsidP="00F33D91">
      <w:pPr>
        <w:pStyle w:val="Sarakstarindkopa"/>
        <w:spacing w:after="0" w:line="240" w:lineRule="auto"/>
        <w:ind w:left="426"/>
        <w:jc w:val="both"/>
      </w:pPr>
    </w:p>
    <w:p w14:paraId="4700B575" w14:textId="77777777" w:rsidR="00F33D91" w:rsidRDefault="00F33D91" w:rsidP="00F33D91">
      <w:pPr>
        <w:pStyle w:val="Sarakstarindkopa"/>
        <w:numPr>
          <w:ilvl w:val="0"/>
          <w:numId w:val="1"/>
        </w:numPr>
        <w:spacing w:after="0" w:line="240" w:lineRule="auto"/>
        <w:ind w:left="426" w:hanging="426"/>
        <w:jc w:val="center"/>
        <w:rPr>
          <w:b/>
          <w:bCs/>
        </w:rPr>
      </w:pPr>
      <w:r>
        <w:rPr>
          <w:b/>
          <w:bCs/>
        </w:rPr>
        <w:t>Noslēguma jautājums</w:t>
      </w:r>
    </w:p>
    <w:p w14:paraId="013E1A0E" w14:textId="77777777" w:rsidR="00F33D91" w:rsidRDefault="00F33D91" w:rsidP="00F33D91">
      <w:pPr>
        <w:spacing w:after="0" w:line="240" w:lineRule="auto"/>
        <w:ind w:firstLine="426"/>
        <w:jc w:val="both"/>
      </w:pPr>
      <w:r>
        <w:t>Atzīt par spēku zaudējušiem Alūksnes novada pašvaldības domes 2024. gada 27. jūnija saistošos noteikumus Nr. 26/2024 “Alūksnes novada pašvaldības līdzdalības budžeta nolikums”.</w:t>
      </w:r>
    </w:p>
    <w:p w14:paraId="467A48AD" w14:textId="77777777" w:rsidR="00F33D91" w:rsidRDefault="00F33D91" w:rsidP="00F33D91">
      <w:r>
        <w:br w:type="page"/>
      </w:r>
    </w:p>
    <w:p w14:paraId="5C42FA86" w14:textId="77777777" w:rsidR="00F33D91" w:rsidRDefault="00F33D91" w:rsidP="00F33D91">
      <w:pPr>
        <w:spacing w:after="0" w:line="240" w:lineRule="auto"/>
        <w:jc w:val="right"/>
      </w:pPr>
      <w:r>
        <w:lastRenderedPageBreak/>
        <w:t>Pielikums</w:t>
      </w:r>
    </w:p>
    <w:p w14:paraId="1091DEA5" w14:textId="77777777" w:rsidR="00F33D91" w:rsidRDefault="00F33D91" w:rsidP="00F33D91">
      <w:pPr>
        <w:spacing w:after="0" w:line="240" w:lineRule="auto"/>
        <w:jc w:val="right"/>
      </w:pPr>
      <w:r>
        <w:t>Alūksnes novada pašvaldības domes 2025. gada _______</w:t>
      </w:r>
    </w:p>
    <w:p w14:paraId="47170C00" w14:textId="77777777" w:rsidR="00F33D91" w:rsidRDefault="00F33D91" w:rsidP="00F33D91">
      <w:pPr>
        <w:spacing w:after="0" w:line="240" w:lineRule="auto"/>
        <w:jc w:val="right"/>
      </w:pPr>
      <w:r>
        <w:t>saistošajiem noteikumiem Nr. __/2025</w:t>
      </w:r>
    </w:p>
    <w:p w14:paraId="5A342E58" w14:textId="77777777" w:rsidR="00F33D91" w:rsidRDefault="00F33D91" w:rsidP="00F33D91">
      <w:pPr>
        <w:spacing w:after="0" w:line="240" w:lineRule="auto"/>
        <w:jc w:val="right"/>
      </w:pPr>
      <w:r>
        <w:t>“Alūksnes novada pašvaldības līdzdalības budžeta nolikums”</w:t>
      </w:r>
    </w:p>
    <w:p w14:paraId="1EE2D7B6" w14:textId="77777777" w:rsidR="00F33D91" w:rsidRDefault="00F33D91" w:rsidP="00F33D91">
      <w:pPr>
        <w:spacing w:after="0" w:line="240" w:lineRule="auto"/>
        <w:jc w:val="right"/>
      </w:pPr>
    </w:p>
    <w:p w14:paraId="7F7A309D" w14:textId="77777777" w:rsidR="00F33D91" w:rsidRDefault="00F33D91" w:rsidP="00F33D91">
      <w:pPr>
        <w:shd w:val="clear" w:color="auto" w:fill="FFFFFF"/>
        <w:jc w:val="center"/>
        <w:rPr>
          <w:rFonts w:cs="Times New Roman"/>
          <w:b/>
          <w:bCs/>
          <w:szCs w:val="24"/>
        </w:rPr>
      </w:pPr>
      <w:r w:rsidRPr="001C1E9B">
        <w:rPr>
          <w:rFonts w:cs="Times New Roman"/>
          <w:b/>
          <w:bCs/>
          <w:szCs w:val="24"/>
        </w:rPr>
        <w:t>Alūksnes novada pašvaldības līdzdalības budžeta projekt</w:t>
      </w:r>
      <w:r>
        <w:rPr>
          <w:rFonts w:cs="Times New Roman"/>
          <w:b/>
          <w:bCs/>
          <w:szCs w:val="24"/>
        </w:rPr>
        <w:t>a</w:t>
      </w:r>
      <w:r w:rsidRPr="001C1E9B">
        <w:rPr>
          <w:rFonts w:cs="Times New Roman"/>
          <w:b/>
          <w:bCs/>
          <w:szCs w:val="24"/>
        </w:rPr>
        <w:t xml:space="preserve"> </w:t>
      </w:r>
      <w:r>
        <w:rPr>
          <w:rFonts w:cs="Times New Roman"/>
          <w:b/>
          <w:bCs/>
          <w:szCs w:val="24"/>
        </w:rPr>
        <w:t>atbilstības no</w:t>
      </w:r>
      <w:r w:rsidRPr="001C1E9B">
        <w:rPr>
          <w:rFonts w:cs="Times New Roman"/>
          <w:b/>
          <w:bCs/>
          <w:szCs w:val="24"/>
        </w:rPr>
        <w:t>vērtē</w:t>
      </w:r>
      <w:r>
        <w:rPr>
          <w:rFonts w:cs="Times New Roman"/>
          <w:b/>
          <w:bCs/>
          <w:szCs w:val="24"/>
        </w:rPr>
        <w:t>jums</w:t>
      </w:r>
      <w:r w:rsidRPr="001C1E9B">
        <w:rPr>
          <w:rFonts w:cs="Times New Roman"/>
          <w:b/>
          <w:bCs/>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59"/>
        <w:gridCol w:w="5229"/>
        <w:gridCol w:w="1220"/>
        <w:gridCol w:w="1307"/>
      </w:tblGrid>
      <w:tr w:rsidR="00F33D91" w:rsidRPr="001A42D0" w14:paraId="653C2479" w14:textId="77777777" w:rsidTr="009C260A">
        <w:tc>
          <w:tcPr>
            <w:tcW w:w="550" w:type="pct"/>
            <w:tcBorders>
              <w:top w:val="outset" w:sz="6" w:space="0" w:color="414142"/>
              <w:left w:val="outset" w:sz="6" w:space="0" w:color="414142"/>
              <w:bottom w:val="outset" w:sz="6" w:space="0" w:color="414142"/>
              <w:right w:val="outset" w:sz="6" w:space="0" w:color="414142"/>
            </w:tcBorders>
            <w:shd w:val="clear" w:color="auto" w:fill="CFF8FD"/>
            <w:vAlign w:val="center"/>
            <w:hideMark/>
          </w:tcPr>
          <w:p w14:paraId="0DA7EC87" w14:textId="77777777" w:rsidR="00F33D91" w:rsidRPr="001A42D0" w:rsidRDefault="00F33D91" w:rsidP="009C260A">
            <w:pPr>
              <w:pStyle w:val="Paraststmeklis"/>
              <w:spacing w:line="293" w:lineRule="atLeast"/>
              <w:jc w:val="center"/>
              <w:rPr>
                <w:b/>
                <w:bCs/>
              </w:rPr>
            </w:pPr>
            <w:r w:rsidRPr="001A42D0">
              <w:rPr>
                <w:b/>
                <w:bCs/>
              </w:rPr>
              <w:t>Nr.</w:t>
            </w:r>
          </w:p>
        </w:tc>
        <w:tc>
          <w:tcPr>
            <w:tcW w:w="3000" w:type="pct"/>
            <w:tcBorders>
              <w:top w:val="outset" w:sz="6" w:space="0" w:color="414142"/>
              <w:left w:val="outset" w:sz="6" w:space="0" w:color="414142"/>
              <w:bottom w:val="outset" w:sz="6" w:space="0" w:color="414142"/>
              <w:right w:val="outset" w:sz="6" w:space="0" w:color="414142"/>
            </w:tcBorders>
            <w:shd w:val="clear" w:color="auto" w:fill="CFF8FD"/>
            <w:hideMark/>
          </w:tcPr>
          <w:p w14:paraId="7E29A352" w14:textId="77777777" w:rsidR="00F33D91" w:rsidRPr="001A42D0" w:rsidRDefault="00F33D91" w:rsidP="009C260A">
            <w:pPr>
              <w:pStyle w:val="Paraststmeklis"/>
              <w:spacing w:line="293" w:lineRule="atLeast"/>
              <w:jc w:val="center"/>
              <w:rPr>
                <w:b/>
                <w:bCs/>
              </w:rPr>
            </w:pPr>
            <w:r w:rsidRPr="001A42D0">
              <w:rPr>
                <w:b/>
                <w:bCs/>
              </w:rPr>
              <w:t>Kritērijs</w:t>
            </w:r>
          </w:p>
        </w:tc>
        <w:tc>
          <w:tcPr>
            <w:tcW w:w="700" w:type="pct"/>
            <w:tcBorders>
              <w:top w:val="outset" w:sz="6" w:space="0" w:color="414142"/>
              <w:left w:val="outset" w:sz="6" w:space="0" w:color="414142"/>
              <w:bottom w:val="outset" w:sz="6" w:space="0" w:color="414142"/>
              <w:right w:val="outset" w:sz="6" w:space="0" w:color="414142"/>
            </w:tcBorders>
            <w:shd w:val="clear" w:color="auto" w:fill="CFF8FD"/>
            <w:hideMark/>
          </w:tcPr>
          <w:p w14:paraId="1E6B8E68" w14:textId="77777777" w:rsidR="00F33D91" w:rsidRPr="001A42D0" w:rsidRDefault="00F33D91" w:rsidP="009C260A">
            <w:pPr>
              <w:pStyle w:val="Paraststmeklis"/>
              <w:spacing w:line="293" w:lineRule="atLeast"/>
              <w:jc w:val="center"/>
              <w:rPr>
                <w:b/>
                <w:bCs/>
              </w:rPr>
            </w:pPr>
            <w:r w:rsidRPr="001A42D0">
              <w:rPr>
                <w:b/>
                <w:bCs/>
              </w:rPr>
              <w:t>Atbilst</w:t>
            </w:r>
          </w:p>
        </w:tc>
        <w:tc>
          <w:tcPr>
            <w:tcW w:w="750" w:type="pct"/>
            <w:tcBorders>
              <w:top w:val="outset" w:sz="6" w:space="0" w:color="414142"/>
              <w:left w:val="outset" w:sz="6" w:space="0" w:color="414142"/>
              <w:bottom w:val="outset" w:sz="6" w:space="0" w:color="414142"/>
              <w:right w:val="outset" w:sz="6" w:space="0" w:color="414142"/>
            </w:tcBorders>
            <w:shd w:val="clear" w:color="auto" w:fill="CFF8FD"/>
            <w:hideMark/>
          </w:tcPr>
          <w:p w14:paraId="1F42EAF3" w14:textId="77777777" w:rsidR="00F33D91" w:rsidRPr="001A42D0" w:rsidRDefault="00F33D91" w:rsidP="009C260A">
            <w:pPr>
              <w:pStyle w:val="Paraststmeklis"/>
              <w:spacing w:line="293" w:lineRule="atLeast"/>
              <w:jc w:val="center"/>
              <w:rPr>
                <w:b/>
                <w:bCs/>
              </w:rPr>
            </w:pPr>
            <w:r w:rsidRPr="001A42D0">
              <w:rPr>
                <w:b/>
                <w:bCs/>
              </w:rPr>
              <w:t>Neatbilst</w:t>
            </w:r>
          </w:p>
        </w:tc>
      </w:tr>
      <w:tr w:rsidR="00F33D91" w:rsidRPr="001A42D0" w14:paraId="24AF8DCA"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hideMark/>
          </w:tcPr>
          <w:p w14:paraId="4F5018A3" w14:textId="77777777" w:rsidR="00F33D91" w:rsidRPr="001A42D0" w:rsidRDefault="00F33D91" w:rsidP="009C260A">
            <w:pPr>
              <w:pStyle w:val="Paraststmeklis"/>
              <w:spacing w:line="293" w:lineRule="atLeast"/>
              <w:jc w:val="center"/>
            </w:pPr>
            <w:r w:rsidRPr="001A42D0">
              <w:t>1.</w:t>
            </w:r>
          </w:p>
        </w:tc>
        <w:tc>
          <w:tcPr>
            <w:tcW w:w="3000" w:type="pct"/>
            <w:tcBorders>
              <w:top w:val="outset" w:sz="6" w:space="0" w:color="414142"/>
              <w:left w:val="outset" w:sz="6" w:space="0" w:color="414142"/>
              <w:bottom w:val="outset" w:sz="6" w:space="0" w:color="414142"/>
              <w:right w:val="outset" w:sz="6" w:space="0" w:color="414142"/>
            </w:tcBorders>
            <w:hideMark/>
          </w:tcPr>
          <w:p w14:paraId="4ECE0785" w14:textId="77777777" w:rsidR="00F33D91" w:rsidRPr="001A42D0" w:rsidRDefault="00F33D91" w:rsidP="009C260A">
            <w:pPr>
              <w:spacing w:after="0" w:line="240" w:lineRule="auto"/>
              <w:jc w:val="both"/>
              <w:rPr>
                <w:rFonts w:cs="Times New Roman"/>
                <w:szCs w:val="24"/>
              </w:rPr>
            </w:pPr>
            <w:r w:rsidRPr="001A42D0">
              <w:rPr>
                <w:rFonts w:cs="Times New Roman"/>
                <w:szCs w:val="24"/>
              </w:rPr>
              <w:t>Projekta idejas pieteikums iesniegts noteiktajā termiņā un kārtībā.</w:t>
            </w:r>
          </w:p>
        </w:tc>
        <w:tc>
          <w:tcPr>
            <w:tcW w:w="700" w:type="pct"/>
            <w:tcBorders>
              <w:top w:val="outset" w:sz="6" w:space="0" w:color="414142"/>
              <w:left w:val="outset" w:sz="6" w:space="0" w:color="414142"/>
              <w:bottom w:val="outset" w:sz="6" w:space="0" w:color="414142"/>
              <w:right w:val="outset" w:sz="6" w:space="0" w:color="414142"/>
            </w:tcBorders>
            <w:hideMark/>
          </w:tcPr>
          <w:p w14:paraId="51035F25" w14:textId="77777777" w:rsidR="00F33D91" w:rsidRPr="001A42D0" w:rsidRDefault="00F33D91" w:rsidP="009C260A">
            <w:pPr>
              <w:spacing w:before="195"/>
              <w:rPr>
                <w:rFonts w:cs="Times New Roman"/>
                <w:szCs w:val="24"/>
              </w:rPr>
            </w:pPr>
            <w:r w:rsidRPr="001A42D0">
              <w:rPr>
                <w:rFonts w:cs="Times New Roman"/>
                <w:szCs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0965E284" w14:textId="77777777" w:rsidR="00F33D91" w:rsidRPr="001A42D0" w:rsidRDefault="00F33D91" w:rsidP="009C260A">
            <w:pPr>
              <w:spacing w:before="195"/>
              <w:rPr>
                <w:rFonts w:cs="Times New Roman"/>
                <w:szCs w:val="24"/>
              </w:rPr>
            </w:pPr>
            <w:r w:rsidRPr="001A42D0">
              <w:rPr>
                <w:rFonts w:cs="Times New Roman"/>
                <w:szCs w:val="24"/>
              </w:rPr>
              <w:t> </w:t>
            </w:r>
          </w:p>
        </w:tc>
      </w:tr>
      <w:tr w:rsidR="00F33D91" w:rsidRPr="001A42D0" w14:paraId="59F4B525"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hideMark/>
          </w:tcPr>
          <w:p w14:paraId="7DDF3BD2" w14:textId="77777777" w:rsidR="00F33D91" w:rsidRPr="001A42D0" w:rsidRDefault="00F33D91" w:rsidP="009C260A">
            <w:pPr>
              <w:pStyle w:val="Paraststmeklis"/>
              <w:spacing w:line="293" w:lineRule="atLeast"/>
              <w:jc w:val="center"/>
            </w:pPr>
            <w:r w:rsidRPr="001A42D0">
              <w:t>2.</w:t>
            </w:r>
          </w:p>
        </w:tc>
        <w:tc>
          <w:tcPr>
            <w:tcW w:w="3000" w:type="pct"/>
            <w:tcBorders>
              <w:top w:val="outset" w:sz="6" w:space="0" w:color="414142"/>
              <w:left w:val="outset" w:sz="6" w:space="0" w:color="414142"/>
              <w:bottom w:val="outset" w:sz="6" w:space="0" w:color="414142"/>
              <w:right w:val="outset" w:sz="6" w:space="0" w:color="414142"/>
            </w:tcBorders>
            <w:hideMark/>
          </w:tcPr>
          <w:p w14:paraId="7806E564" w14:textId="77777777" w:rsidR="00F33D91" w:rsidRPr="001A42D0" w:rsidRDefault="00F33D91" w:rsidP="009C260A">
            <w:pPr>
              <w:spacing w:after="0" w:line="240" w:lineRule="auto"/>
              <w:jc w:val="both"/>
              <w:rPr>
                <w:rFonts w:cs="Times New Roman"/>
                <w:szCs w:val="24"/>
              </w:rPr>
            </w:pPr>
            <w:r>
              <w:rPr>
                <w:rFonts w:cs="Times New Roman"/>
                <w:szCs w:val="24"/>
              </w:rPr>
              <w:t xml:space="preserve">Projekta iesniedzējs ir </w:t>
            </w:r>
            <w:r>
              <w:t>fiziska persona, biedrība vai nodibinājums, kurā nav pašvaldības dalības.</w:t>
            </w:r>
          </w:p>
        </w:tc>
        <w:tc>
          <w:tcPr>
            <w:tcW w:w="700" w:type="pct"/>
            <w:tcBorders>
              <w:top w:val="outset" w:sz="6" w:space="0" w:color="414142"/>
              <w:left w:val="outset" w:sz="6" w:space="0" w:color="414142"/>
              <w:bottom w:val="outset" w:sz="6" w:space="0" w:color="414142"/>
              <w:right w:val="outset" w:sz="6" w:space="0" w:color="414142"/>
            </w:tcBorders>
            <w:hideMark/>
          </w:tcPr>
          <w:p w14:paraId="3B9B2224" w14:textId="77777777" w:rsidR="00F33D91" w:rsidRPr="001A42D0" w:rsidRDefault="00F33D91" w:rsidP="009C260A">
            <w:pPr>
              <w:spacing w:before="195"/>
              <w:rPr>
                <w:rFonts w:cs="Times New Roman"/>
                <w:szCs w:val="24"/>
              </w:rPr>
            </w:pPr>
            <w:r w:rsidRPr="001A42D0">
              <w:rPr>
                <w:rFonts w:cs="Times New Roman"/>
                <w:szCs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9799FCF" w14:textId="77777777" w:rsidR="00F33D91" w:rsidRPr="001A42D0" w:rsidRDefault="00F33D91" w:rsidP="009C260A">
            <w:pPr>
              <w:spacing w:before="195"/>
              <w:rPr>
                <w:rFonts w:cs="Times New Roman"/>
                <w:szCs w:val="24"/>
              </w:rPr>
            </w:pPr>
            <w:r w:rsidRPr="001A42D0">
              <w:rPr>
                <w:rFonts w:cs="Times New Roman"/>
                <w:szCs w:val="24"/>
              </w:rPr>
              <w:t> </w:t>
            </w:r>
          </w:p>
        </w:tc>
      </w:tr>
      <w:tr w:rsidR="00F33D91" w:rsidRPr="001A42D0" w14:paraId="167E0C67"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hideMark/>
          </w:tcPr>
          <w:p w14:paraId="1BD62A54" w14:textId="77777777" w:rsidR="00F33D91" w:rsidRPr="001A42D0" w:rsidRDefault="00F33D91" w:rsidP="009C260A">
            <w:pPr>
              <w:pStyle w:val="Paraststmeklis"/>
              <w:spacing w:line="293" w:lineRule="atLeast"/>
              <w:jc w:val="center"/>
            </w:pPr>
            <w:r>
              <w:t>3.</w:t>
            </w:r>
          </w:p>
        </w:tc>
        <w:tc>
          <w:tcPr>
            <w:tcW w:w="3000" w:type="pct"/>
            <w:tcBorders>
              <w:top w:val="outset" w:sz="6" w:space="0" w:color="414142"/>
              <w:left w:val="outset" w:sz="6" w:space="0" w:color="414142"/>
              <w:bottom w:val="outset" w:sz="6" w:space="0" w:color="414142"/>
              <w:right w:val="outset" w:sz="6" w:space="0" w:color="414142"/>
            </w:tcBorders>
            <w:hideMark/>
          </w:tcPr>
          <w:p w14:paraId="0222A2D9" w14:textId="77777777" w:rsidR="00F33D91" w:rsidRPr="001A42D0" w:rsidRDefault="00F33D91" w:rsidP="009C260A">
            <w:pPr>
              <w:spacing w:after="0" w:line="240" w:lineRule="auto"/>
              <w:jc w:val="both"/>
              <w:rPr>
                <w:rFonts w:cs="Times New Roman"/>
                <w:szCs w:val="24"/>
              </w:rPr>
            </w:pPr>
            <w:r>
              <w:t xml:space="preserve">Projekta realizēšanas vieta ir publiskā lietošanā esošs </w:t>
            </w:r>
            <w:r w:rsidRPr="005622E5">
              <w:t>pašvaldības</w:t>
            </w:r>
            <w:r>
              <w:t xml:space="preserve"> īpašums Alūksnes novadā.</w:t>
            </w:r>
          </w:p>
        </w:tc>
        <w:tc>
          <w:tcPr>
            <w:tcW w:w="700" w:type="pct"/>
            <w:tcBorders>
              <w:top w:val="outset" w:sz="6" w:space="0" w:color="414142"/>
              <w:left w:val="outset" w:sz="6" w:space="0" w:color="414142"/>
              <w:bottom w:val="outset" w:sz="6" w:space="0" w:color="414142"/>
              <w:right w:val="outset" w:sz="6" w:space="0" w:color="414142"/>
            </w:tcBorders>
            <w:hideMark/>
          </w:tcPr>
          <w:p w14:paraId="05CE1981" w14:textId="77777777" w:rsidR="00F33D91" w:rsidRPr="001A42D0" w:rsidRDefault="00F33D91" w:rsidP="009C260A">
            <w:pPr>
              <w:spacing w:before="195"/>
              <w:rPr>
                <w:rFonts w:cs="Times New Roman"/>
                <w:szCs w:val="24"/>
              </w:rPr>
            </w:pPr>
            <w:r w:rsidRPr="001A42D0">
              <w:rPr>
                <w:rFonts w:cs="Times New Roman"/>
                <w:szCs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EB525F5" w14:textId="77777777" w:rsidR="00F33D91" w:rsidRPr="001A42D0" w:rsidRDefault="00F33D91" w:rsidP="009C260A">
            <w:pPr>
              <w:spacing w:before="195"/>
              <w:rPr>
                <w:rFonts w:cs="Times New Roman"/>
                <w:szCs w:val="24"/>
              </w:rPr>
            </w:pPr>
            <w:r w:rsidRPr="001A42D0">
              <w:rPr>
                <w:rFonts w:cs="Times New Roman"/>
                <w:szCs w:val="24"/>
              </w:rPr>
              <w:t> </w:t>
            </w:r>
          </w:p>
        </w:tc>
      </w:tr>
      <w:tr w:rsidR="00F33D91" w:rsidRPr="001A42D0" w14:paraId="4384DE70"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7CAE7EE4" w14:textId="77777777" w:rsidR="00F33D91" w:rsidRDefault="00F33D91" w:rsidP="009C260A">
            <w:pPr>
              <w:pStyle w:val="Paraststmeklis"/>
              <w:spacing w:line="293" w:lineRule="atLeast"/>
              <w:jc w:val="center"/>
            </w:pPr>
            <w:r>
              <w:t>4.</w:t>
            </w:r>
          </w:p>
        </w:tc>
        <w:tc>
          <w:tcPr>
            <w:tcW w:w="3000" w:type="pct"/>
            <w:tcBorders>
              <w:top w:val="outset" w:sz="6" w:space="0" w:color="414142"/>
              <w:left w:val="outset" w:sz="6" w:space="0" w:color="414142"/>
              <w:bottom w:val="outset" w:sz="6" w:space="0" w:color="414142"/>
              <w:right w:val="outset" w:sz="6" w:space="0" w:color="414142"/>
            </w:tcBorders>
          </w:tcPr>
          <w:p w14:paraId="4D46E8DD" w14:textId="77777777" w:rsidR="00F33D91" w:rsidRDefault="00F33D91" w:rsidP="009C260A">
            <w:pPr>
              <w:spacing w:after="0" w:line="240" w:lineRule="auto"/>
              <w:jc w:val="both"/>
            </w:pPr>
            <w:r>
              <w:t xml:space="preserve">Iesniegta projekta idejas skice, norādot būtisko elementu izmērus un izvietojumu uz zemesgabala. </w:t>
            </w:r>
          </w:p>
        </w:tc>
        <w:tc>
          <w:tcPr>
            <w:tcW w:w="700" w:type="pct"/>
            <w:tcBorders>
              <w:top w:val="outset" w:sz="6" w:space="0" w:color="414142"/>
              <w:left w:val="outset" w:sz="6" w:space="0" w:color="414142"/>
              <w:bottom w:val="outset" w:sz="6" w:space="0" w:color="414142"/>
              <w:right w:val="outset" w:sz="6" w:space="0" w:color="414142"/>
            </w:tcBorders>
          </w:tcPr>
          <w:p w14:paraId="34603FD3"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6B7D5DD0" w14:textId="77777777" w:rsidR="00F33D91" w:rsidRPr="001A42D0" w:rsidRDefault="00F33D91" w:rsidP="009C260A">
            <w:pPr>
              <w:spacing w:before="195"/>
              <w:rPr>
                <w:rFonts w:cs="Times New Roman"/>
                <w:szCs w:val="24"/>
              </w:rPr>
            </w:pPr>
          </w:p>
        </w:tc>
      </w:tr>
      <w:tr w:rsidR="00F33D91" w:rsidRPr="001A42D0" w14:paraId="26C0C444"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hideMark/>
          </w:tcPr>
          <w:p w14:paraId="5B563B7D" w14:textId="77777777" w:rsidR="00F33D91" w:rsidRPr="001A42D0" w:rsidRDefault="00F33D91" w:rsidP="009C260A">
            <w:pPr>
              <w:pStyle w:val="Paraststmeklis"/>
              <w:spacing w:line="293" w:lineRule="atLeast"/>
              <w:jc w:val="center"/>
            </w:pPr>
            <w:r>
              <w:t>5.</w:t>
            </w:r>
          </w:p>
        </w:tc>
        <w:tc>
          <w:tcPr>
            <w:tcW w:w="3000" w:type="pct"/>
            <w:tcBorders>
              <w:top w:val="outset" w:sz="6" w:space="0" w:color="414142"/>
              <w:left w:val="outset" w:sz="6" w:space="0" w:color="414142"/>
              <w:bottom w:val="outset" w:sz="6" w:space="0" w:color="414142"/>
              <w:right w:val="outset" w:sz="6" w:space="0" w:color="414142"/>
            </w:tcBorders>
            <w:hideMark/>
          </w:tcPr>
          <w:p w14:paraId="16350B38" w14:textId="77777777" w:rsidR="00F33D91" w:rsidRDefault="00F33D91" w:rsidP="009C260A">
            <w:pPr>
              <w:spacing w:after="0" w:line="240" w:lineRule="auto"/>
              <w:jc w:val="both"/>
              <w:rPr>
                <w:rFonts w:cs="Times New Roman"/>
                <w:szCs w:val="24"/>
              </w:rPr>
            </w:pPr>
            <w:r>
              <w:rPr>
                <w:rFonts w:cs="Times New Roman"/>
                <w:szCs w:val="24"/>
              </w:rPr>
              <w:t>I</w:t>
            </w:r>
            <w:r w:rsidRPr="001A42D0">
              <w:rPr>
                <w:rFonts w:cs="Times New Roman"/>
                <w:szCs w:val="24"/>
              </w:rPr>
              <w:t>esniegta</w:t>
            </w:r>
            <w:r>
              <w:rPr>
                <w:rFonts w:cs="Times New Roman"/>
                <w:szCs w:val="24"/>
              </w:rPr>
              <w:t xml:space="preserve"> projekta</w:t>
            </w:r>
            <w:r w:rsidRPr="001A42D0">
              <w:rPr>
                <w:rFonts w:cs="Times New Roman"/>
                <w:szCs w:val="24"/>
              </w:rPr>
              <w:t xml:space="preserve"> tāme</w:t>
            </w:r>
            <w:r>
              <w:rPr>
                <w:rFonts w:cs="Times New Roman"/>
                <w:szCs w:val="24"/>
              </w:rPr>
              <w:t xml:space="preserve">, kas nepārsniedz kopējo pašvaldības budžetā </w:t>
            </w:r>
            <w:r w:rsidRPr="001A42D0">
              <w:rPr>
                <w:rFonts w:cs="Times New Roman"/>
                <w:szCs w:val="24"/>
              </w:rPr>
              <w:t xml:space="preserve"> </w:t>
            </w:r>
            <w:r>
              <w:rPr>
                <w:rFonts w:cs="Times New Roman"/>
                <w:szCs w:val="24"/>
              </w:rPr>
              <w:t>šim mērķim paredzēto finansējumu (iekaitot visus nodokļus).</w:t>
            </w:r>
          </w:p>
          <w:p w14:paraId="0BFC30E6" w14:textId="77777777" w:rsidR="00F33D91" w:rsidRPr="001A42D0" w:rsidRDefault="00F33D91" w:rsidP="009C260A">
            <w:pPr>
              <w:spacing w:after="0" w:line="240" w:lineRule="auto"/>
              <w:jc w:val="both"/>
              <w:rPr>
                <w:rFonts w:cs="Times New Roman"/>
                <w:szCs w:val="24"/>
              </w:rPr>
            </w:pPr>
          </w:p>
        </w:tc>
        <w:tc>
          <w:tcPr>
            <w:tcW w:w="700" w:type="pct"/>
            <w:tcBorders>
              <w:top w:val="outset" w:sz="6" w:space="0" w:color="414142"/>
              <w:left w:val="outset" w:sz="6" w:space="0" w:color="414142"/>
              <w:bottom w:val="outset" w:sz="6" w:space="0" w:color="414142"/>
              <w:right w:val="outset" w:sz="6" w:space="0" w:color="414142"/>
            </w:tcBorders>
            <w:hideMark/>
          </w:tcPr>
          <w:p w14:paraId="64EC9AF4" w14:textId="77777777" w:rsidR="00F33D91" w:rsidRPr="001A42D0" w:rsidRDefault="00F33D91" w:rsidP="009C260A">
            <w:pPr>
              <w:spacing w:before="195"/>
              <w:rPr>
                <w:rFonts w:cs="Times New Roman"/>
                <w:szCs w:val="24"/>
              </w:rPr>
            </w:pPr>
            <w:r w:rsidRPr="001A42D0">
              <w:rPr>
                <w:rFonts w:cs="Times New Roman"/>
                <w:szCs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40173B5" w14:textId="77777777" w:rsidR="00F33D91" w:rsidRPr="001A42D0" w:rsidRDefault="00F33D91" w:rsidP="009C260A">
            <w:pPr>
              <w:spacing w:before="195"/>
              <w:rPr>
                <w:rFonts w:cs="Times New Roman"/>
                <w:szCs w:val="24"/>
              </w:rPr>
            </w:pPr>
            <w:r w:rsidRPr="001A42D0">
              <w:rPr>
                <w:rFonts w:cs="Times New Roman"/>
                <w:szCs w:val="24"/>
              </w:rPr>
              <w:t> </w:t>
            </w:r>
          </w:p>
        </w:tc>
      </w:tr>
      <w:tr w:rsidR="00F33D91" w:rsidRPr="001A42D0" w14:paraId="2620B024"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4C36328E" w14:textId="77777777" w:rsidR="00F33D91" w:rsidRDefault="00F33D91" w:rsidP="009C260A">
            <w:pPr>
              <w:pStyle w:val="Paraststmeklis"/>
              <w:spacing w:line="293" w:lineRule="atLeast"/>
              <w:jc w:val="center"/>
            </w:pPr>
            <w:r>
              <w:t>6.</w:t>
            </w:r>
          </w:p>
        </w:tc>
        <w:tc>
          <w:tcPr>
            <w:tcW w:w="3000" w:type="pct"/>
            <w:tcBorders>
              <w:top w:val="outset" w:sz="6" w:space="0" w:color="414142"/>
              <w:left w:val="outset" w:sz="6" w:space="0" w:color="414142"/>
              <w:bottom w:val="outset" w:sz="6" w:space="0" w:color="414142"/>
              <w:right w:val="outset" w:sz="6" w:space="0" w:color="414142"/>
            </w:tcBorders>
          </w:tcPr>
          <w:p w14:paraId="563E40DC" w14:textId="77777777" w:rsidR="00F33D91" w:rsidRDefault="00F33D91" w:rsidP="009C260A">
            <w:pPr>
              <w:spacing w:after="0" w:line="240" w:lineRule="auto"/>
              <w:jc w:val="both"/>
              <w:rPr>
                <w:rFonts w:cs="Times New Roman"/>
                <w:szCs w:val="24"/>
              </w:rPr>
            </w:pPr>
            <w:r>
              <w:rPr>
                <w:rFonts w:cs="Times New Roman"/>
                <w:szCs w:val="24"/>
              </w:rPr>
              <w:t xml:space="preserve">Projektā paredzētie ieguldījumi ir ekonomiski pamatoti, tāmē ir iekļautas visas izmaksas </w:t>
            </w:r>
            <w:r>
              <w:t>(t.sk. teritorijas izpēte, būvprojekta izstrāde, autoruzraudzība, būvuzraudzība, ja attiecināms)</w:t>
            </w:r>
            <w:r>
              <w:rPr>
                <w:rFonts w:cs="Times New Roman"/>
                <w:szCs w:val="24"/>
              </w:rPr>
              <w:t xml:space="preserve"> un to ir iespējams īstenot atbilstoši tāmē norādītajam.</w:t>
            </w:r>
          </w:p>
        </w:tc>
        <w:tc>
          <w:tcPr>
            <w:tcW w:w="700" w:type="pct"/>
            <w:tcBorders>
              <w:top w:val="outset" w:sz="6" w:space="0" w:color="414142"/>
              <w:left w:val="outset" w:sz="6" w:space="0" w:color="414142"/>
              <w:bottom w:val="outset" w:sz="6" w:space="0" w:color="414142"/>
              <w:right w:val="outset" w:sz="6" w:space="0" w:color="414142"/>
            </w:tcBorders>
          </w:tcPr>
          <w:p w14:paraId="2D4B1882"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34F7EBE0" w14:textId="77777777" w:rsidR="00F33D91" w:rsidRPr="001A42D0" w:rsidRDefault="00F33D91" w:rsidP="009C260A">
            <w:pPr>
              <w:spacing w:before="195"/>
              <w:rPr>
                <w:rFonts w:cs="Times New Roman"/>
                <w:szCs w:val="24"/>
              </w:rPr>
            </w:pPr>
          </w:p>
        </w:tc>
      </w:tr>
      <w:tr w:rsidR="00F33D91" w:rsidRPr="001A42D0" w14:paraId="3B969A8F"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4F121EA8" w14:textId="77777777" w:rsidR="00F33D91" w:rsidRDefault="00F33D91" w:rsidP="009C260A">
            <w:pPr>
              <w:pStyle w:val="Paraststmeklis"/>
              <w:spacing w:line="293" w:lineRule="atLeast"/>
              <w:jc w:val="center"/>
            </w:pPr>
            <w:r>
              <w:t xml:space="preserve">7. </w:t>
            </w:r>
          </w:p>
        </w:tc>
        <w:tc>
          <w:tcPr>
            <w:tcW w:w="3000" w:type="pct"/>
            <w:tcBorders>
              <w:top w:val="outset" w:sz="6" w:space="0" w:color="414142"/>
              <w:left w:val="outset" w:sz="6" w:space="0" w:color="414142"/>
              <w:bottom w:val="outset" w:sz="6" w:space="0" w:color="414142"/>
              <w:right w:val="outset" w:sz="6" w:space="0" w:color="414142"/>
            </w:tcBorders>
          </w:tcPr>
          <w:p w14:paraId="052EFB1C" w14:textId="77777777" w:rsidR="00F33D91" w:rsidRPr="001677AE" w:rsidRDefault="00F33D91" w:rsidP="009C260A">
            <w:pPr>
              <w:pStyle w:val="Sarakstarindkopa"/>
              <w:spacing w:after="0" w:line="240" w:lineRule="auto"/>
              <w:ind w:left="0"/>
              <w:jc w:val="both"/>
            </w:pPr>
            <w:r>
              <w:t>Projektā plānotās darbības netiek finansētas no citām pašvaldības atbalsta programmām vai citiem finansējuma avotiem (t.sk. ziedojumiem un dāvinājumiem).</w:t>
            </w:r>
          </w:p>
        </w:tc>
        <w:tc>
          <w:tcPr>
            <w:tcW w:w="700" w:type="pct"/>
            <w:tcBorders>
              <w:top w:val="outset" w:sz="6" w:space="0" w:color="414142"/>
              <w:left w:val="outset" w:sz="6" w:space="0" w:color="414142"/>
              <w:bottom w:val="outset" w:sz="6" w:space="0" w:color="414142"/>
              <w:right w:val="outset" w:sz="6" w:space="0" w:color="414142"/>
            </w:tcBorders>
          </w:tcPr>
          <w:p w14:paraId="7664201C"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7A30C230" w14:textId="77777777" w:rsidR="00F33D91" w:rsidRPr="001A42D0" w:rsidRDefault="00F33D91" w:rsidP="009C260A">
            <w:pPr>
              <w:spacing w:before="195"/>
              <w:rPr>
                <w:rFonts w:cs="Times New Roman"/>
                <w:szCs w:val="24"/>
              </w:rPr>
            </w:pPr>
          </w:p>
        </w:tc>
      </w:tr>
      <w:tr w:rsidR="00F33D91" w:rsidRPr="001A42D0" w14:paraId="06EA8C89"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hideMark/>
          </w:tcPr>
          <w:p w14:paraId="1BB421D0" w14:textId="77777777" w:rsidR="00F33D91" w:rsidRPr="001A42D0" w:rsidRDefault="00F33D91" w:rsidP="009C260A">
            <w:pPr>
              <w:pStyle w:val="Paraststmeklis"/>
              <w:spacing w:line="293" w:lineRule="atLeast"/>
              <w:jc w:val="center"/>
            </w:pPr>
            <w:r>
              <w:t>8.</w:t>
            </w:r>
          </w:p>
        </w:tc>
        <w:tc>
          <w:tcPr>
            <w:tcW w:w="3000" w:type="pct"/>
            <w:tcBorders>
              <w:top w:val="outset" w:sz="6" w:space="0" w:color="414142"/>
              <w:left w:val="outset" w:sz="6" w:space="0" w:color="414142"/>
              <w:bottom w:val="outset" w:sz="6" w:space="0" w:color="414142"/>
              <w:right w:val="outset" w:sz="6" w:space="0" w:color="414142"/>
            </w:tcBorders>
            <w:hideMark/>
          </w:tcPr>
          <w:p w14:paraId="6881F570" w14:textId="77777777" w:rsidR="00F33D91" w:rsidRPr="001A42D0" w:rsidRDefault="00F33D91" w:rsidP="009C260A">
            <w:pPr>
              <w:spacing w:after="0" w:line="240" w:lineRule="auto"/>
              <w:jc w:val="both"/>
              <w:rPr>
                <w:rFonts w:cs="Times New Roman"/>
                <w:szCs w:val="24"/>
              </w:rPr>
            </w:pPr>
            <w:r w:rsidRPr="001A42D0">
              <w:rPr>
                <w:rFonts w:cs="Times New Roman"/>
                <w:szCs w:val="24"/>
              </w:rPr>
              <w:t>Projekta idejas mērķis nodrošina pašvaldības autonomo funkciju īstenošanu atbilstoši </w:t>
            </w:r>
            <w:hyperlink r:id="rId15" w:tgtFrame="_blank" w:history="1">
              <w:r w:rsidRPr="003D13B2">
                <w:rPr>
                  <w:rStyle w:val="Hipersaite"/>
                  <w:rFonts w:cs="Times New Roman"/>
                  <w:szCs w:val="24"/>
                </w:rPr>
                <w:t>Pašvaldību likuma</w:t>
              </w:r>
            </w:hyperlink>
            <w:r w:rsidRPr="003D13B2">
              <w:rPr>
                <w:rFonts w:cs="Times New Roman"/>
                <w:szCs w:val="24"/>
              </w:rPr>
              <w:t> </w:t>
            </w:r>
            <w:hyperlink r:id="rId16" w:anchor="p4" w:tgtFrame="_blank" w:history="1">
              <w:r w:rsidRPr="003D13B2">
                <w:rPr>
                  <w:rStyle w:val="Hipersaite"/>
                  <w:rFonts w:cs="Times New Roman"/>
                  <w:szCs w:val="24"/>
                </w:rPr>
                <w:t>4. pantam</w:t>
              </w:r>
            </w:hyperlink>
            <w:r w:rsidRPr="003D13B2">
              <w:rPr>
                <w:rFonts w:cs="Times New Roman"/>
                <w:szCs w:val="24"/>
              </w:rPr>
              <w:t>.</w:t>
            </w:r>
          </w:p>
        </w:tc>
        <w:tc>
          <w:tcPr>
            <w:tcW w:w="700" w:type="pct"/>
            <w:tcBorders>
              <w:top w:val="outset" w:sz="6" w:space="0" w:color="414142"/>
              <w:left w:val="outset" w:sz="6" w:space="0" w:color="414142"/>
              <w:bottom w:val="outset" w:sz="6" w:space="0" w:color="414142"/>
              <w:right w:val="outset" w:sz="6" w:space="0" w:color="414142"/>
            </w:tcBorders>
            <w:hideMark/>
          </w:tcPr>
          <w:p w14:paraId="5CB1B176" w14:textId="77777777" w:rsidR="00F33D91" w:rsidRPr="001A42D0" w:rsidRDefault="00F33D91" w:rsidP="009C260A">
            <w:pPr>
              <w:spacing w:before="195"/>
              <w:rPr>
                <w:rFonts w:cs="Times New Roman"/>
                <w:szCs w:val="24"/>
              </w:rPr>
            </w:pPr>
            <w:r w:rsidRPr="001A42D0">
              <w:rPr>
                <w:rFonts w:cs="Times New Roman"/>
                <w:szCs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7F1EBA9" w14:textId="77777777" w:rsidR="00F33D91" w:rsidRPr="001A42D0" w:rsidRDefault="00F33D91" w:rsidP="009C260A">
            <w:pPr>
              <w:spacing w:before="195"/>
              <w:rPr>
                <w:rFonts w:cs="Times New Roman"/>
                <w:szCs w:val="24"/>
              </w:rPr>
            </w:pPr>
            <w:r w:rsidRPr="001A42D0">
              <w:rPr>
                <w:rFonts w:cs="Times New Roman"/>
                <w:szCs w:val="24"/>
              </w:rPr>
              <w:t> </w:t>
            </w:r>
          </w:p>
        </w:tc>
      </w:tr>
      <w:tr w:rsidR="00F33D91" w:rsidRPr="001A42D0" w14:paraId="20262DF1"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6F1E2AF3" w14:textId="77777777" w:rsidR="00F33D91" w:rsidRDefault="00F33D91" w:rsidP="009C260A">
            <w:pPr>
              <w:pStyle w:val="Paraststmeklis"/>
              <w:spacing w:line="293" w:lineRule="atLeast"/>
              <w:jc w:val="center"/>
            </w:pPr>
            <w:r>
              <w:t>9.</w:t>
            </w:r>
          </w:p>
        </w:tc>
        <w:tc>
          <w:tcPr>
            <w:tcW w:w="3000" w:type="pct"/>
            <w:tcBorders>
              <w:top w:val="outset" w:sz="6" w:space="0" w:color="414142"/>
              <w:left w:val="outset" w:sz="6" w:space="0" w:color="414142"/>
              <w:bottom w:val="outset" w:sz="6" w:space="0" w:color="414142"/>
              <w:right w:val="outset" w:sz="6" w:space="0" w:color="414142"/>
            </w:tcBorders>
          </w:tcPr>
          <w:p w14:paraId="73629B8B" w14:textId="77777777" w:rsidR="00F33D91" w:rsidRPr="001A42D0" w:rsidRDefault="00F33D91" w:rsidP="009C260A">
            <w:pPr>
              <w:spacing w:after="0" w:line="240" w:lineRule="auto"/>
              <w:jc w:val="both"/>
              <w:rPr>
                <w:rFonts w:cs="Times New Roman"/>
                <w:szCs w:val="24"/>
              </w:rPr>
            </w:pPr>
            <w:r>
              <w:t>Projekta ideja atbilst pašvaldības  attīstības programmas rīcības plāna uzdevumiem un teritorijas plānojumam.</w:t>
            </w:r>
          </w:p>
        </w:tc>
        <w:tc>
          <w:tcPr>
            <w:tcW w:w="700" w:type="pct"/>
            <w:tcBorders>
              <w:top w:val="outset" w:sz="6" w:space="0" w:color="414142"/>
              <w:left w:val="outset" w:sz="6" w:space="0" w:color="414142"/>
              <w:bottom w:val="outset" w:sz="6" w:space="0" w:color="414142"/>
              <w:right w:val="outset" w:sz="6" w:space="0" w:color="414142"/>
            </w:tcBorders>
          </w:tcPr>
          <w:p w14:paraId="28F619A9"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04432D1C" w14:textId="77777777" w:rsidR="00F33D91" w:rsidRPr="001A42D0" w:rsidRDefault="00F33D91" w:rsidP="009C260A">
            <w:pPr>
              <w:spacing w:before="195"/>
              <w:rPr>
                <w:rFonts w:cs="Times New Roman"/>
                <w:szCs w:val="24"/>
              </w:rPr>
            </w:pPr>
          </w:p>
        </w:tc>
      </w:tr>
      <w:tr w:rsidR="00F33D91" w:rsidRPr="001A42D0" w14:paraId="3D126854"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73BD34D0" w14:textId="77777777" w:rsidR="00F33D91" w:rsidRDefault="00F33D91" w:rsidP="009C260A">
            <w:pPr>
              <w:pStyle w:val="Paraststmeklis"/>
              <w:spacing w:line="293" w:lineRule="atLeast"/>
              <w:jc w:val="center"/>
            </w:pPr>
            <w:r>
              <w:t>10.</w:t>
            </w:r>
          </w:p>
        </w:tc>
        <w:tc>
          <w:tcPr>
            <w:tcW w:w="3000" w:type="pct"/>
            <w:tcBorders>
              <w:top w:val="outset" w:sz="6" w:space="0" w:color="414142"/>
              <w:left w:val="outset" w:sz="6" w:space="0" w:color="414142"/>
              <w:bottom w:val="outset" w:sz="6" w:space="0" w:color="414142"/>
              <w:right w:val="outset" w:sz="6" w:space="0" w:color="414142"/>
            </w:tcBorders>
          </w:tcPr>
          <w:p w14:paraId="3CA00D98" w14:textId="77777777" w:rsidR="00F33D91" w:rsidRPr="001A42D0" w:rsidRDefault="00F33D91" w:rsidP="009C260A">
            <w:pPr>
              <w:spacing w:after="0" w:line="240" w:lineRule="auto"/>
              <w:jc w:val="both"/>
              <w:rPr>
                <w:rFonts w:cs="Times New Roman"/>
                <w:szCs w:val="24"/>
              </w:rPr>
            </w:pPr>
            <w:r>
              <w:t>Projekts paredz paliekošas, sabiedriski nozīmīgas publiski plaši pieejamas jaunas infrastruktūras radīšanu vai jau esošas infrastruktūras uzlabošanu.</w:t>
            </w:r>
          </w:p>
        </w:tc>
        <w:tc>
          <w:tcPr>
            <w:tcW w:w="700" w:type="pct"/>
            <w:tcBorders>
              <w:top w:val="outset" w:sz="6" w:space="0" w:color="414142"/>
              <w:left w:val="outset" w:sz="6" w:space="0" w:color="414142"/>
              <w:bottom w:val="outset" w:sz="6" w:space="0" w:color="414142"/>
              <w:right w:val="outset" w:sz="6" w:space="0" w:color="414142"/>
            </w:tcBorders>
          </w:tcPr>
          <w:p w14:paraId="633647C6"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346C62AD" w14:textId="77777777" w:rsidR="00F33D91" w:rsidRPr="001A42D0" w:rsidRDefault="00F33D91" w:rsidP="009C260A">
            <w:pPr>
              <w:spacing w:before="195"/>
              <w:rPr>
                <w:rFonts w:cs="Times New Roman"/>
                <w:szCs w:val="24"/>
              </w:rPr>
            </w:pPr>
          </w:p>
        </w:tc>
      </w:tr>
      <w:tr w:rsidR="00F33D91" w:rsidRPr="001A42D0" w14:paraId="26BF6067"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0639446C" w14:textId="77777777" w:rsidR="00F33D91" w:rsidRPr="001A42D0" w:rsidRDefault="00F33D91" w:rsidP="009C260A">
            <w:pPr>
              <w:pStyle w:val="Paraststmeklis"/>
              <w:spacing w:line="293" w:lineRule="atLeast"/>
              <w:jc w:val="center"/>
            </w:pPr>
            <w:r>
              <w:t>11.</w:t>
            </w:r>
          </w:p>
        </w:tc>
        <w:tc>
          <w:tcPr>
            <w:tcW w:w="3000" w:type="pct"/>
            <w:tcBorders>
              <w:top w:val="outset" w:sz="6" w:space="0" w:color="414142"/>
              <w:left w:val="outset" w:sz="6" w:space="0" w:color="414142"/>
              <w:bottom w:val="outset" w:sz="6" w:space="0" w:color="414142"/>
              <w:right w:val="outset" w:sz="6" w:space="0" w:color="414142"/>
            </w:tcBorders>
            <w:hideMark/>
          </w:tcPr>
          <w:p w14:paraId="5E0297E8" w14:textId="77777777" w:rsidR="00F33D91" w:rsidRPr="001A42D0" w:rsidRDefault="00F33D91" w:rsidP="009C260A">
            <w:pPr>
              <w:spacing w:after="0" w:line="240" w:lineRule="auto"/>
              <w:jc w:val="both"/>
              <w:rPr>
                <w:rFonts w:cs="Times New Roman"/>
                <w:szCs w:val="24"/>
              </w:rPr>
            </w:pPr>
            <w:r>
              <w:rPr>
                <w:rFonts w:cs="Times New Roman"/>
                <w:szCs w:val="24"/>
              </w:rPr>
              <w:t>Projekts paredz pilnīgu iesniegtās idejas realizēšanu vienā kārtā.</w:t>
            </w:r>
          </w:p>
        </w:tc>
        <w:tc>
          <w:tcPr>
            <w:tcW w:w="700" w:type="pct"/>
            <w:tcBorders>
              <w:top w:val="outset" w:sz="6" w:space="0" w:color="414142"/>
              <w:left w:val="outset" w:sz="6" w:space="0" w:color="414142"/>
              <w:bottom w:val="outset" w:sz="6" w:space="0" w:color="414142"/>
              <w:right w:val="outset" w:sz="6" w:space="0" w:color="414142"/>
            </w:tcBorders>
            <w:hideMark/>
          </w:tcPr>
          <w:p w14:paraId="248A93B9" w14:textId="77777777" w:rsidR="00F33D91" w:rsidRPr="001A42D0" w:rsidRDefault="00F33D91" w:rsidP="009C260A">
            <w:pPr>
              <w:spacing w:before="195"/>
              <w:rPr>
                <w:rFonts w:cs="Times New Roman"/>
                <w:szCs w:val="24"/>
              </w:rPr>
            </w:pPr>
            <w:r w:rsidRPr="001A42D0">
              <w:rPr>
                <w:rFonts w:cs="Times New Roman"/>
                <w:szCs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7351DE05" w14:textId="77777777" w:rsidR="00F33D91" w:rsidRPr="001A42D0" w:rsidRDefault="00F33D91" w:rsidP="009C260A">
            <w:pPr>
              <w:spacing w:before="195"/>
              <w:rPr>
                <w:rFonts w:cs="Times New Roman"/>
                <w:szCs w:val="24"/>
              </w:rPr>
            </w:pPr>
            <w:r w:rsidRPr="001A42D0">
              <w:rPr>
                <w:rFonts w:cs="Times New Roman"/>
                <w:szCs w:val="24"/>
              </w:rPr>
              <w:t> </w:t>
            </w:r>
          </w:p>
        </w:tc>
      </w:tr>
      <w:tr w:rsidR="00F33D91" w:rsidRPr="001A42D0" w14:paraId="31EC5999"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16E20931" w14:textId="77777777" w:rsidR="00F33D91" w:rsidRPr="001A42D0" w:rsidRDefault="00F33D91" w:rsidP="009C260A">
            <w:pPr>
              <w:pStyle w:val="Paraststmeklis"/>
              <w:spacing w:line="293" w:lineRule="atLeast"/>
              <w:jc w:val="center"/>
            </w:pPr>
            <w:r>
              <w:t>12</w:t>
            </w:r>
            <w:r w:rsidRPr="001A42D0">
              <w:t>.</w:t>
            </w:r>
          </w:p>
        </w:tc>
        <w:tc>
          <w:tcPr>
            <w:tcW w:w="3000" w:type="pct"/>
            <w:tcBorders>
              <w:top w:val="outset" w:sz="6" w:space="0" w:color="414142"/>
              <w:left w:val="outset" w:sz="6" w:space="0" w:color="414142"/>
              <w:bottom w:val="outset" w:sz="6" w:space="0" w:color="414142"/>
              <w:right w:val="outset" w:sz="6" w:space="0" w:color="414142"/>
            </w:tcBorders>
          </w:tcPr>
          <w:p w14:paraId="788751FF" w14:textId="77777777" w:rsidR="00F33D91" w:rsidRPr="001A42D0" w:rsidRDefault="00F33D91" w:rsidP="009C260A">
            <w:pPr>
              <w:spacing w:after="0" w:line="240" w:lineRule="auto"/>
              <w:jc w:val="both"/>
              <w:rPr>
                <w:rFonts w:cs="Times New Roman"/>
                <w:szCs w:val="24"/>
              </w:rPr>
            </w:pPr>
            <w:r w:rsidRPr="001A42D0">
              <w:rPr>
                <w:rFonts w:cs="Times New Roman"/>
                <w:szCs w:val="24"/>
              </w:rPr>
              <w:t>Projekta</w:t>
            </w:r>
            <w:r>
              <w:rPr>
                <w:rFonts w:cs="Times New Roman"/>
                <w:szCs w:val="24"/>
              </w:rPr>
              <w:t>m nav komerciāla</w:t>
            </w:r>
            <w:r w:rsidRPr="001A42D0">
              <w:rPr>
                <w:rFonts w:cs="Times New Roman"/>
                <w:szCs w:val="24"/>
              </w:rPr>
              <w:t>, reliģisk</w:t>
            </w:r>
            <w:r>
              <w:rPr>
                <w:rFonts w:cs="Times New Roman"/>
                <w:szCs w:val="24"/>
              </w:rPr>
              <w:t>a</w:t>
            </w:r>
            <w:r w:rsidRPr="001A42D0">
              <w:rPr>
                <w:rFonts w:cs="Times New Roman"/>
                <w:szCs w:val="24"/>
              </w:rPr>
              <w:t xml:space="preserve"> vai politisk</w:t>
            </w:r>
            <w:r>
              <w:rPr>
                <w:rFonts w:cs="Times New Roman"/>
                <w:szCs w:val="24"/>
              </w:rPr>
              <w:t>a</w:t>
            </w:r>
            <w:r w:rsidRPr="001A42D0">
              <w:rPr>
                <w:rFonts w:cs="Times New Roman"/>
                <w:szCs w:val="24"/>
              </w:rPr>
              <w:t xml:space="preserve"> rakstur</w:t>
            </w:r>
            <w:r>
              <w:rPr>
                <w:rFonts w:cs="Times New Roman"/>
                <w:szCs w:val="24"/>
              </w:rPr>
              <w:t>a</w:t>
            </w:r>
            <w:r w:rsidRPr="001A42D0">
              <w:rPr>
                <w:rFonts w:cs="Times New Roman"/>
                <w:szCs w:val="24"/>
              </w:rPr>
              <w:t>.</w:t>
            </w:r>
          </w:p>
        </w:tc>
        <w:tc>
          <w:tcPr>
            <w:tcW w:w="700" w:type="pct"/>
            <w:tcBorders>
              <w:top w:val="outset" w:sz="6" w:space="0" w:color="414142"/>
              <w:left w:val="outset" w:sz="6" w:space="0" w:color="414142"/>
              <w:bottom w:val="outset" w:sz="6" w:space="0" w:color="414142"/>
              <w:right w:val="outset" w:sz="6" w:space="0" w:color="414142"/>
            </w:tcBorders>
          </w:tcPr>
          <w:p w14:paraId="7A61A27D"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0EA3832F" w14:textId="77777777" w:rsidR="00F33D91" w:rsidRPr="001A42D0" w:rsidRDefault="00F33D91" w:rsidP="009C260A">
            <w:pPr>
              <w:spacing w:before="195"/>
              <w:rPr>
                <w:rFonts w:cs="Times New Roman"/>
                <w:szCs w:val="24"/>
              </w:rPr>
            </w:pPr>
          </w:p>
        </w:tc>
      </w:tr>
      <w:tr w:rsidR="00F33D91" w:rsidRPr="001A42D0" w14:paraId="5C62D17C"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53360CE9" w14:textId="77777777" w:rsidR="00F33D91" w:rsidRDefault="00F33D91" w:rsidP="009C260A">
            <w:pPr>
              <w:pStyle w:val="Paraststmeklis"/>
              <w:spacing w:line="293" w:lineRule="atLeast"/>
              <w:jc w:val="center"/>
            </w:pPr>
            <w:r>
              <w:t xml:space="preserve">13. </w:t>
            </w:r>
          </w:p>
        </w:tc>
        <w:tc>
          <w:tcPr>
            <w:tcW w:w="3000" w:type="pct"/>
            <w:tcBorders>
              <w:top w:val="outset" w:sz="6" w:space="0" w:color="414142"/>
              <w:left w:val="outset" w:sz="6" w:space="0" w:color="414142"/>
              <w:bottom w:val="outset" w:sz="6" w:space="0" w:color="414142"/>
              <w:right w:val="outset" w:sz="6" w:space="0" w:color="414142"/>
            </w:tcBorders>
          </w:tcPr>
          <w:p w14:paraId="5B9A27AD" w14:textId="77777777" w:rsidR="00F33D91" w:rsidRPr="001A42D0" w:rsidRDefault="00F33D91" w:rsidP="009C260A">
            <w:pPr>
              <w:spacing w:after="0" w:line="240" w:lineRule="auto"/>
              <w:jc w:val="both"/>
              <w:rPr>
                <w:rFonts w:cs="Times New Roman"/>
                <w:szCs w:val="24"/>
              </w:rPr>
            </w:pPr>
            <w:r>
              <w:rPr>
                <w:rFonts w:cs="Times New Roman"/>
                <w:szCs w:val="24"/>
              </w:rPr>
              <w:t>Projekta idejas īstenošana atbilst normatīvajiem aktiem.</w:t>
            </w:r>
          </w:p>
        </w:tc>
        <w:tc>
          <w:tcPr>
            <w:tcW w:w="700" w:type="pct"/>
            <w:tcBorders>
              <w:top w:val="outset" w:sz="6" w:space="0" w:color="414142"/>
              <w:left w:val="outset" w:sz="6" w:space="0" w:color="414142"/>
              <w:bottom w:val="outset" w:sz="6" w:space="0" w:color="414142"/>
              <w:right w:val="outset" w:sz="6" w:space="0" w:color="414142"/>
            </w:tcBorders>
          </w:tcPr>
          <w:p w14:paraId="43F0FA4E"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0EBF4FBD" w14:textId="77777777" w:rsidR="00F33D91" w:rsidRPr="001A42D0" w:rsidRDefault="00F33D91" w:rsidP="009C260A">
            <w:pPr>
              <w:spacing w:before="195"/>
              <w:rPr>
                <w:rFonts w:cs="Times New Roman"/>
                <w:szCs w:val="24"/>
              </w:rPr>
            </w:pPr>
          </w:p>
        </w:tc>
      </w:tr>
      <w:tr w:rsidR="00F33D91" w:rsidRPr="001A42D0" w14:paraId="0753FF01"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560B7B5B" w14:textId="77777777" w:rsidR="00F33D91" w:rsidRDefault="00F33D91" w:rsidP="009C260A">
            <w:pPr>
              <w:pStyle w:val="Paraststmeklis"/>
              <w:spacing w:line="293" w:lineRule="atLeast"/>
              <w:jc w:val="center"/>
            </w:pPr>
            <w:r>
              <w:t>14.</w:t>
            </w:r>
          </w:p>
        </w:tc>
        <w:tc>
          <w:tcPr>
            <w:tcW w:w="3000" w:type="pct"/>
            <w:tcBorders>
              <w:top w:val="outset" w:sz="6" w:space="0" w:color="414142"/>
              <w:left w:val="outset" w:sz="6" w:space="0" w:color="414142"/>
              <w:bottom w:val="outset" w:sz="6" w:space="0" w:color="414142"/>
              <w:right w:val="outset" w:sz="6" w:space="0" w:color="414142"/>
            </w:tcBorders>
          </w:tcPr>
          <w:p w14:paraId="11882ED3" w14:textId="77777777" w:rsidR="00F33D91" w:rsidRDefault="00F33D91" w:rsidP="009C260A">
            <w:pPr>
              <w:spacing w:after="0" w:line="240" w:lineRule="auto"/>
              <w:jc w:val="both"/>
              <w:rPr>
                <w:rFonts w:cs="Times New Roman"/>
                <w:szCs w:val="24"/>
              </w:rPr>
            </w:pPr>
            <w:r>
              <w:rPr>
                <w:rFonts w:cs="Times New Roman"/>
                <w:szCs w:val="24"/>
              </w:rPr>
              <w:t xml:space="preserve">Projekta īstenošanu ir iespējams uzsākt trīs mēnešu laikā pēc konkursa rezultātu paziņošanas un īstenot divu gadu laikā. </w:t>
            </w:r>
          </w:p>
        </w:tc>
        <w:tc>
          <w:tcPr>
            <w:tcW w:w="700" w:type="pct"/>
            <w:tcBorders>
              <w:top w:val="outset" w:sz="6" w:space="0" w:color="414142"/>
              <w:left w:val="outset" w:sz="6" w:space="0" w:color="414142"/>
              <w:bottom w:val="outset" w:sz="6" w:space="0" w:color="414142"/>
              <w:right w:val="outset" w:sz="6" w:space="0" w:color="414142"/>
            </w:tcBorders>
          </w:tcPr>
          <w:p w14:paraId="3079032F"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2D7BF432" w14:textId="77777777" w:rsidR="00F33D91" w:rsidRPr="001A42D0" w:rsidRDefault="00F33D91" w:rsidP="009C260A">
            <w:pPr>
              <w:spacing w:before="195"/>
              <w:rPr>
                <w:rFonts w:cs="Times New Roman"/>
                <w:szCs w:val="24"/>
              </w:rPr>
            </w:pPr>
          </w:p>
        </w:tc>
      </w:tr>
      <w:tr w:rsidR="00F33D91" w:rsidRPr="001A42D0" w14:paraId="2CD57231" w14:textId="77777777" w:rsidTr="009C260A">
        <w:tc>
          <w:tcPr>
            <w:tcW w:w="550" w:type="pct"/>
            <w:tcBorders>
              <w:top w:val="outset" w:sz="6" w:space="0" w:color="414142"/>
              <w:left w:val="outset" w:sz="6" w:space="0" w:color="414142"/>
              <w:bottom w:val="outset" w:sz="6" w:space="0" w:color="414142"/>
              <w:right w:val="outset" w:sz="6" w:space="0" w:color="414142"/>
            </w:tcBorders>
            <w:vAlign w:val="center"/>
          </w:tcPr>
          <w:p w14:paraId="3C6A7EDD" w14:textId="77777777" w:rsidR="00F33D91" w:rsidRDefault="00F33D91" w:rsidP="009C260A">
            <w:pPr>
              <w:pStyle w:val="Paraststmeklis"/>
              <w:spacing w:line="293" w:lineRule="atLeast"/>
              <w:jc w:val="center"/>
            </w:pPr>
            <w:r>
              <w:lastRenderedPageBreak/>
              <w:t>15.</w:t>
            </w:r>
          </w:p>
        </w:tc>
        <w:tc>
          <w:tcPr>
            <w:tcW w:w="3000" w:type="pct"/>
            <w:tcBorders>
              <w:top w:val="outset" w:sz="6" w:space="0" w:color="414142"/>
              <w:left w:val="outset" w:sz="6" w:space="0" w:color="414142"/>
              <w:bottom w:val="outset" w:sz="6" w:space="0" w:color="414142"/>
              <w:right w:val="outset" w:sz="6" w:space="0" w:color="414142"/>
            </w:tcBorders>
          </w:tcPr>
          <w:p w14:paraId="5C91B249" w14:textId="77777777" w:rsidR="00F33D91" w:rsidRPr="001A42D0" w:rsidRDefault="00F33D91" w:rsidP="009C260A">
            <w:pPr>
              <w:spacing w:after="0" w:line="240" w:lineRule="auto"/>
              <w:jc w:val="both"/>
              <w:rPr>
                <w:rFonts w:cs="Times New Roman"/>
                <w:szCs w:val="24"/>
              </w:rPr>
            </w:pPr>
            <w:r>
              <w:rPr>
                <w:rFonts w:cs="Times New Roman"/>
                <w:szCs w:val="24"/>
              </w:rPr>
              <w:t>Iesniedzējs ir piekritis, ka pašvaldība ir tiesīga saprātīgi samazināt projektā paredzētās darbības, lai projekta īstenošanas faktiskās izmaksas iekļautos tā īstenošanai paredzētajā tāmē.</w:t>
            </w:r>
          </w:p>
        </w:tc>
        <w:tc>
          <w:tcPr>
            <w:tcW w:w="700" w:type="pct"/>
            <w:tcBorders>
              <w:top w:val="outset" w:sz="6" w:space="0" w:color="414142"/>
              <w:left w:val="outset" w:sz="6" w:space="0" w:color="414142"/>
              <w:bottom w:val="outset" w:sz="6" w:space="0" w:color="414142"/>
              <w:right w:val="outset" w:sz="6" w:space="0" w:color="414142"/>
            </w:tcBorders>
          </w:tcPr>
          <w:p w14:paraId="5C7177BB" w14:textId="77777777" w:rsidR="00F33D91" w:rsidRPr="001A42D0" w:rsidRDefault="00F33D91" w:rsidP="009C260A">
            <w:pPr>
              <w:spacing w:before="195"/>
              <w:rPr>
                <w:rFonts w:cs="Times New Roman"/>
                <w:szCs w:val="24"/>
              </w:rPr>
            </w:pPr>
          </w:p>
        </w:tc>
        <w:tc>
          <w:tcPr>
            <w:tcW w:w="750" w:type="pct"/>
            <w:tcBorders>
              <w:top w:val="outset" w:sz="6" w:space="0" w:color="414142"/>
              <w:left w:val="outset" w:sz="6" w:space="0" w:color="414142"/>
              <w:bottom w:val="outset" w:sz="6" w:space="0" w:color="414142"/>
              <w:right w:val="outset" w:sz="6" w:space="0" w:color="414142"/>
            </w:tcBorders>
          </w:tcPr>
          <w:p w14:paraId="080B1947" w14:textId="77777777" w:rsidR="00F33D91" w:rsidRPr="001A42D0" w:rsidRDefault="00F33D91" w:rsidP="009C260A">
            <w:pPr>
              <w:spacing w:before="195"/>
              <w:rPr>
                <w:rFonts w:cs="Times New Roman"/>
                <w:szCs w:val="24"/>
              </w:rPr>
            </w:pPr>
          </w:p>
        </w:tc>
      </w:tr>
    </w:tbl>
    <w:p w14:paraId="138A7A86" w14:textId="77777777" w:rsidR="00F33D91" w:rsidRDefault="00F33D91" w:rsidP="00F33D91">
      <w:r>
        <w:br w:type="page"/>
      </w:r>
    </w:p>
    <w:p w14:paraId="428B2D6A" w14:textId="77777777" w:rsidR="00F33D91" w:rsidRPr="004C6A5F" w:rsidRDefault="00F33D91" w:rsidP="00F33D91">
      <w:pPr>
        <w:spacing w:after="0" w:line="240" w:lineRule="auto"/>
        <w:jc w:val="center"/>
        <w:rPr>
          <w:b/>
          <w:bCs/>
        </w:rPr>
      </w:pPr>
      <w:r w:rsidRPr="004C6A5F">
        <w:rPr>
          <w:b/>
          <w:bCs/>
        </w:rPr>
        <w:lastRenderedPageBreak/>
        <w:t xml:space="preserve">Paskaidrojuma raksts </w:t>
      </w:r>
    </w:p>
    <w:p w14:paraId="705A00F7" w14:textId="77777777" w:rsidR="00F33D91" w:rsidRPr="004C6A5F" w:rsidRDefault="00F33D91" w:rsidP="00F33D91">
      <w:pPr>
        <w:spacing w:after="0" w:line="240" w:lineRule="auto"/>
        <w:jc w:val="center"/>
        <w:rPr>
          <w:b/>
          <w:bCs/>
        </w:rPr>
      </w:pPr>
      <w:bookmarkStart w:id="2" w:name="_Hlk191971510"/>
      <w:r w:rsidRPr="004C6A5F">
        <w:rPr>
          <w:b/>
          <w:bCs/>
        </w:rPr>
        <w:t>Alūksnes novada pašvaldības domes saistošajiem noteikumiem Nr. __/2025</w:t>
      </w:r>
    </w:p>
    <w:p w14:paraId="47E3EC2E" w14:textId="77777777" w:rsidR="00F33D91" w:rsidRPr="004C6A5F" w:rsidRDefault="00F33D91" w:rsidP="00F33D91">
      <w:pPr>
        <w:spacing w:after="0" w:line="240" w:lineRule="auto"/>
        <w:jc w:val="center"/>
        <w:rPr>
          <w:b/>
          <w:bCs/>
        </w:rPr>
      </w:pPr>
      <w:r w:rsidRPr="004C6A5F">
        <w:rPr>
          <w:b/>
          <w:bCs/>
        </w:rPr>
        <w:t>“Alūksnes novada pašvaldības līdzdalības budžeta nolikums”</w:t>
      </w:r>
    </w:p>
    <w:bookmarkEnd w:id="2"/>
    <w:p w14:paraId="0DE882A5" w14:textId="77777777" w:rsidR="00F33D91" w:rsidRDefault="00F33D91" w:rsidP="00F33D91">
      <w:pPr>
        <w:spacing w:after="0" w:line="240" w:lineRule="auto"/>
        <w:jc w:val="center"/>
      </w:pPr>
    </w:p>
    <w:tbl>
      <w:tblPr>
        <w:tblStyle w:val="Reatabula"/>
        <w:tblW w:w="0" w:type="auto"/>
        <w:tblLook w:val="04A0" w:firstRow="1" w:lastRow="0" w:firstColumn="1" w:lastColumn="0" w:noHBand="0" w:noVBand="1"/>
      </w:tblPr>
      <w:tblGrid>
        <w:gridCol w:w="3315"/>
        <w:gridCol w:w="5406"/>
      </w:tblGrid>
      <w:tr w:rsidR="00F33D91" w14:paraId="3DDE9E41" w14:textId="77777777" w:rsidTr="009C260A">
        <w:tc>
          <w:tcPr>
            <w:tcW w:w="3397" w:type="dxa"/>
          </w:tcPr>
          <w:p w14:paraId="2BE8B6EE" w14:textId="77777777" w:rsidR="00F33D91" w:rsidRDefault="00F33D91" w:rsidP="009C260A">
            <w:pPr>
              <w:jc w:val="center"/>
            </w:pPr>
            <w:r>
              <w:t>Paskaidrojuma raksta sadaļa</w:t>
            </w:r>
          </w:p>
        </w:tc>
        <w:tc>
          <w:tcPr>
            <w:tcW w:w="5664" w:type="dxa"/>
          </w:tcPr>
          <w:p w14:paraId="19BE8AC6" w14:textId="77777777" w:rsidR="00F33D91" w:rsidRDefault="00F33D91" w:rsidP="009C260A">
            <w:pPr>
              <w:jc w:val="center"/>
            </w:pPr>
            <w:r>
              <w:t>Norādāmā informācija</w:t>
            </w:r>
          </w:p>
        </w:tc>
      </w:tr>
      <w:tr w:rsidR="00F33D91" w14:paraId="49DCC144" w14:textId="77777777" w:rsidTr="009C260A">
        <w:tc>
          <w:tcPr>
            <w:tcW w:w="3397" w:type="dxa"/>
          </w:tcPr>
          <w:p w14:paraId="2069F2AA" w14:textId="77777777" w:rsidR="00F33D91" w:rsidRDefault="00F33D91" w:rsidP="00F33D91">
            <w:pPr>
              <w:pStyle w:val="Sarakstarindkopa"/>
              <w:numPr>
                <w:ilvl w:val="0"/>
                <w:numId w:val="3"/>
              </w:numPr>
              <w:ind w:left="306" w:hanging="306"/>
            </w:pPr>
            <w:r>
              <w:t>Mērķis un nepieciešamības pamatojums.</w:t>
            </w:r>
          </w:p>
        </w:tc>
        <w:tc>
          <w:tcPr>
            <w:tcW w:w="5664" w:type="dxa"/>
          </w:tcPr>
          <w:p w14:paraId="1B8F2F70" w14:textId="77777777" w:rsidR="00F33D91" w:rsidRDefault="00F33D91" w:rsidP="009C260A">
            <w:pPr>
              <w:jc w:val="both"/>
            </w:pPr>
            <w:r>
              <w:t>Saistošo noteikumu “Alūksnes novada pašvaldības līdzdalības budžeta nolikums” izdošanas mērķis ir noteikt kārtību, kādā Alūksnes novada pašvaldība (turpmāk – pašvaldība) īsteno līdzdalības budžeta projektu konkursu.</w:t>
            </w:r>
          </w:p>
          <w:p w14:paraId="5F1BA0B2" w14:textId="77777777" w:rsidR="00F33D91" w:rsidRDefault="00F33D91" w:rsidP="009C260A">
            <w:pPr>
              <w:jc w:val="both"/>
            </w:pPr>
            <w:r>
              <w:t>Saistošo noteikumu mērķis ir veicināt pašvaldības administratīvās teritorijas iedzīvotāju iesaisti teritorijas attīstības jautājumu izlemšanā.</w:t>
            </w:r>
          </w:p>
          <w:p w14:paraId="41F0B1AB" w14:textId="77777777" w:rsidR="00F33D91" w:rsidRDefault="00F33D91" w:rsidP="009C260A">
            <w:pPr>
              <w:jc w:val="both"/>
            </w:pPr>
            <w:r>
              <w:t>Saistošie noteikumi ir nepieciešami, lai atbilstoši Pašvaldību likuma 61. pantā noteiktajam deleģējumam noteiktu kārtību, kādā pašvaldība īsteno līdzdalības budžeta projektu konkursu (turpmāk – konkurss).</w:t>
            </w:r>
          </w:p>
        </w:tc>
      </w:tr>
      <w:tr w:rsidR="00F33D91" w14:paraId="4D077EFE" w14:textId="77777777" w:rsidTr="009C260A">
        <w:tc>
          <w:tcPr>
            <w:tcW w:w="3397" w:type="dxa"/>
          </w:tcPr>
          <w:p w14:paraId="34EF26DE" w14:textId="77777777" w:rsidR="00F33D91" w:rsidRDefault="00F33D91" w:rsidP="00F33D91">
            <w:pPr>
              <w:pStyle w:val="Sarakstarindkopa"/>
              <w:numPr>
                <w:ilvl w:val="0"/>
                <w:numId w:val="3"/>
              </w:numPr>
              <w:ind w:left="306" w:hanging="284"/>
            </w:pPr>
            <w:r>
              <w:t>Fiskālā ietekme uz pašvaldības budžetu.</w:t>
            </w:r>
          </w:p>
        </w:tc>
        <w:tc>
          <w:tcPr>
            <w:tcW w:w="5664" w:type="dxa"/>
          </w:tcPr>
          <w:p w14:paraId="55B2F255" w14:textId="77777777" w:rsidR="00F33D91" w:rsidRPr="00CF6C15" w:rsidRDefault="00F33D91" w:rsidP="009C260A">
            <w:pPr>
              <w:jc w:val="both"/>
              <w:rPr>
                <w:rFonts w:cs="Times New Roman"/>
                <w:noProof/>
                <w:szCs w:val="24"/>
                <w:shd w:val="clear" w:color="auto" w:fill="FFFFFF"/>
              </w:rPr>
            </w:pPr>
            <w:r>
              <w:t xml:space="preserve">Pašvaldību likuma 59. panta otrā daļa noteic, ka sākot ar 2025. gadu pašvaldības budžetā tiek paredzēti līdzekļi sabiedrības ierosinātu teritorijas attīstības projektu īstenošanai </w:t>
            </w:r>
            <w:r w:rsidRPr="00CF6C15">
              <w:rPr>
                <w:rFonts w:cs="Times New Roman"/>
                <w:noProof/>
                <w:szCs w:val="24"/>
                <w:shd w:val="clear" w:color="auto" w:fill="FFFFFF"/>
              </w:rPr>
              <w:t xml:space="preserve">vismaz 0,5 procentu apmērā no pašvaldības vidējiem viena gada iedzīvotāju ienākuma nodokļa un nekustamā īpašuma nodokļa faktiskajiem ieņēmumiem, kas tiek aprēķināti </w:t>
            </w:r>
            <w:r w:rsidRPr="00031ECB">
              <w:rPr>
                <w:rFonts w:cs="Times New Roman"/>
                <w:noProof/>
                <w:szCs w:val="24"/>
                <w:shd w:val="clear" w:color="auto" w:fill="FFFFFF"/>
              </w:rPr>
              <w:t>par pēdējiem trim gadiem.</w:t>
            </w:r>
            <w:r w:rsidRPr="00031ECB">
              <w:rPr>
                <w:rFonts w:eastAsia="Times New Roman" w:cs="Times New Roman"/>
                <w:noProof/>
                <w:szCs w:val="24"/>
                <w:lang w:eastAsia="lv-LV"/>
              </w:rPr>
              <w:t xml:space="preserve"> Ar 2024. gada 6. decembrī likumu “Par valsts budžetu 2025. gadam un budžeta ietvaru 2025., 2026. un 2027. gadam”, kas ir speciālais regulējumu attiecībā uz līdzdalības budžetam atvēlamo līdzekļu apjomu, noteikts, ka pašvaldības dome gadskārtējā pašvaldības budžetā 2025. gadam paredz finansējumu līdzdalības budžetam ne mazāk kā 0,1</w:t>
            </w:r>
            <w:r>
              <w:rPr>
                <w:rFonts w:eastAsia="Times New Roman" w:cs="Times New Roman"/>
                <w:noProof/>
                <w:szCs w:val="24"/>
                <w:lang w:eastAsia="lv-LV"/>
              </w:rPr>
              <w:t> </w:t>
            </w:r>
            <w:r w:rsidRPr="00031ECB">
              <w:rPr>
                <w:rFonts w:eastAsia="Times New Roman" w:cs="Times New Roman"/>
                <w:noProof/>
                <w:szCs w:val="24"/>
                <w:lang w:eastAsia="lv-LV"/>
              </w:rPr>
              <w:t>procenta apmērā, 2026. gadā ne mazāk kā 0,2 procentu apmērā, 2027. gadā ne mazāk kā 0,3</w:t>
            </w:r>
            <w:r>
              <w:rPr>
                <w:rFonts w:eastAsia="Times New Roman" w:cs="Times New Roman"/>
                <w:noProof/>
                <w:szCs w:val="24"/>
                <w:lang w:eastAsia="lv-LV"/>
              </w:rPr>
              <w:t> </w:t>
            </w:r>
            <w:r w:rsidRPr="00031ECB">
              <w:rPr>
                <w:rFonts w:eastAsia="Times New Roman" w:cs="Times New Roman"/>
                <w:noProof/>
                <w:szCs w:val="24"/>
                <w:lang w:eastAsia="lv-LV"/>
              </w:rPr>
              <w:t>procentu apmērā un 2028. gadā ne mazāk kā 0,4</w:t>
            </w:r>
            <w:r>
              <w:rPr>
                <w:rFonts w:eastAsia="Times New Roman" w:cs="Times New Roman"/>
                <w:noProof/>
                <w:szCs w:val="24"/>
                <w:lang w:eastAsia="lv-LV"/>
              </w:rPr>
              <w:t> </w:t>
            </w:r>
            <w:r w:rsidRPr="00031ECB">
              <w:rPr>
                <w:rFonts w:eastAsia="Times New Roman" w:cs="Times New Roman"/>
                <w:noProof/>
                <w:szCs w:val="24"/>
                <w:lang w:eastAsia="lv-LV"/>
              </w:rPr>
              <w:t>procentu apmērā no pašvaldības vidējiem viena gada iedzīvotāju ienākuma nodokļa un nekustamā īpašuma nodokļa faktiskajiem ieņēmumiem, kas tiek aprēķināti par pēdējiem trim gadiem.</w:t>
            </w:r>
          </w:p>
        </w:tc>
      </w:tr>
      <w:tr w:rsidR="00F33D91" w14:paraId="63B53C80" w14:textId="77777777" w:rsidTr="009C260A">
        <w:tc>
          <w:tcPr>
            <w:tcW w:w="3397" w:type="dxa"/>
          </w:tcPr>
          <w:p w14:paraId="339FC77E" w14:textId="77777777" w:rsidR="00F33D91" w:rsidRDefault="00F33D91" w:rsidP="00F33D91">
            <w:pPr>
              <w:pStyle w:val="Sarakstarindkopa"/>
              <w:numPr>
                <w:ilvl w:val="0"/>
                <w:numId w:val="3"/>
              </w:numPr>
              <w:ind w:left="306" w:hanging="284"/>
            </w:pPr>
            <w:r>
              <w:t>Sociālā ietekme, ietekme uz vidi, iedzīvotāju veselību, uzņēmējdarbības vidi pašvaldības teritorijā, kā arī plānotā regulējuma ietekme uz konkurenci.</w:t>
            </w:r>
          </w:p>
        </w:tc>
        <w:tc>
          <w:tcPr>
            <w:tcW w:w="5664" w:type="dxa"/>
          </w:tcPr>
          <w:p w14:paraId="13B4F1DC" w14:textId="77777777" w:rsidR="00F33D91" w:rsidRPr="00121BF8" w:rsidRDefault="00F33D91" w:rsidP="009C260A">
            <w:pPr>
              <w:jc w:val="both"/>
              <w:rPr>
                <w:rFonts w:cs="Times New Roman"/>
                <w:noProof/>
                <w:szCs w:val="24"/>
                <w:shd w:val="clear" w:color="auto" w:fill="FFFFFF"/>
              </w:rPr>
            </w:pPr>
            <w:r w:rsidRPr="00121BF8">
              <w:rPr>
                <w:szCs w:val="24"/>
              </w:rPr>
              <w:t xml:space="preserve">Sociālā ietekme – labvēlīga, jo </w:t>
            </w:r>
            <w:r w:rsidRPr="00121BF8">
              <w:rPr>
                <w:rFonts w:cs="Times New Roman"/>
                <w:noProof/>
                <w:szCs w:val="24"/>
                <w:shd w:val="clear" w:color="auto" w:fill="FFFFFF"/>
              </w:rPr>
              <w:t>tiesiskais regulējums attiecināms uz sabiedrībai pieejamu publisku ārtelpu attīstību – piemēram, jaunu infrastruktūras un vides objektu izveidošanu vai esošo labiekārtošanu plašu sabiedrības grupu interesēm.</w:t>
            </w:r>
          </w:p>
          <w:p w14:paraId="1FAF4A88" w14:textId="77777777" w:rsidR="00F33D91" w:rsidRPr="00121BF8" w:rsidRDefault="00F33D91" w:rsidP="009C260A">
            <w:pPr>
              <w:ind w:firstLine="29"/>
              <w:jc w:val="both"/>
              <w:textAlignment w:val="baseline"/>
              <w:rPr>
                <w:noProof/>
                <w:szCs w:val="24"/>
              </w:rPr>
            </w:pPr>
            <w:r>
              <w:rPr>
                <w:szCs w:val="24"/>
              </w:rPr>
              <w:t>I</w:t>
            </w:r>
            <w:r w:rsidRPr="00121BF8">
              <w:rPr>
                <w:szCs w:val="24"/>
              </w:rPr>
              <w:t>etekme uz vidi, iedzīvotāju veselību</w:t>
            </w:r>
            <w:r>
              <w:rPr>
                <w:szCs w:val="24"/>
              </w:rPr>
              <w:t xml:space="preserve"> – pozitīva, </w:t>
            </w:r>
            <w:r w:rsidRPr="00121BF8">
              <w:rPr>
                <w:rFonts w:eastAsia="Times New Roman" w:cs="Times New Roman"/>
                <w:noProof/>
                <w:szCs w:val="24"/>
                <w:lang w:eastAsia="lv-LV"/>
              </w:rPr>
              <w:t>jo veiktās darbības tiks īstenotas atbilstoši būvniecību regulējošajiem normatīvajiem aktiem un  veicinās vides labiekārtošanu atbilstoši cilvēku vajadzībām un interesēm, ņemot vērā arī drošības aspektu.</w:t>
            </w:r>
            <w:r w:rsidRPr="00121BF8">
              <w:rPr>
                <w:noProof/>
                <w:szCs w:val="24"/>
              </w:rPr>
              <w:t xml:space="preserve"> </w:t>
            </w:r>
          </w:p>
          <w:p w14:paraId="22CB136F" w14:textId="77777777" w:rsidR="00F33D91" w:rsidRPr="00031ECB" w:rsidRDefault="00F33D91" w:rsidP="009C260A">
            <w:pPr>
              <w:jc w:val="both"/>
              <w:rPr>
                <w:rFonts w:cs="Times New Roman"/>
                <w:noProof/>
                <w:szCs w:val="24"/>
                <w:shd w:val="clear" w:color="auto" w:fill="FFFFFF"/>
              </w:rPr>
            </w:pPr>
            <w:r w:rsidRPr="00031ECB">
              <w:rPr>
                <w:rFonts w:cs="Times New Roman"/>
                <w:noProof/>
                <w:szCs w:val="24"/>
                <w:shd w:val="clear" w:color="auto" w:fill="FFFFFF"/>
              </w:rPr>
              <w:t>Ietekme uz uzņēmējdarbības vidi un konkurenci – nav, jo</w:t>
            </w:r>
            <w:r w:rsidRPr="00031ECB">
              <w:rPr>
                <w:rFonts w:eastAsia="Times New Roman" w:cs="Times New Roman"/>
                <w:noProof/>
                <w:szCs w:val="24"/>
                <w:lang w:eastAsia="lv-LV"/>
              </w:rPr>
              <w:t xml:space="preserve"> konkursa rezultātā apstiprinātos projektus īstenos </w:t>
            </w:r>
            <w:r w:rsidRPr="00031ECB">
              <w:rPr>
                <w:rFonts w:eastAsia="Times New Roman" w:cs="Times New Roman"/>
                <w:noProof/>
                <w:szCs w:val="24"/>
                <w:lang w:eastAsia="lv-LV"/>
              </w:rPr>
              <w:lastRenderedPageBreak/>
              <w:t>pašvaldība, atbilstoši publiskā iepirkuma normatīvajam regulējumam.</w:t>
            </w:r>
          </w:p>
        </w:tc>
      </w:tr>
      <w:tr w:rsidR="00F33D91" w14:paraId="301A87A6" w14:textId="77777777" w:rsidTr="009C260A">
        <w:tc>
          <w:tcPr>
            <w:tcW w:w="3397" w:type="dxa"/>
          </w:tcPr>
          <w:p w14:paraId="3ADED6AA" w14:textId="77777777" w:rsidR="00F33D91" w:rsidRDefault="00F33D91" w:rsidP="00F33D91">
            <w:pPr>
              <w:pStyle w:val="Sarakstarindkopa"/>
              <w:numPr>
                <w:ilvl w:val="0"/>
                <w:numId w:val="3"/>
              </w:numPr>
              <w:ind w:left="306" w:hanging="306"/>
            </w:pPr>
            <w:r>
              <w:lastRenderedPageBreak/>
              <w:t>Ietekme uz administratīvajām procedūrām un to izmaksām.</w:t>
            </w:r>
          </w:p>
        </w:tc>
        <w:tc>
          <w:tcPr>
            <w:tcW w:w="5664" w:type="dxa"/>
          </w:tcPr>
          <w:p w14:paraId="11DDFB45" w14:textId="77777777" w:rsidR="00F33D91" w:rsidRDefault="00F33D91" w:rsidP="009C260A">
            <w:pPr>
              <w:jc w:val="both"/>
            </w:pPr>
            <w:r>
              <w:t>Saistošajos noteikumos ir noteiktas privātpersonai veicamās darbības projekta sagatavošanai un iesniegšanai konkursam.</w:t>
            </w:r>
          </w:p>
          <w:p w14:paraId="0BFD52CC" w14:textId="77777777" w:rsidR="00F33D91" w:rsidRDefault="00F33D91" w:rsidP="009C260A">
            <w:pPr>
              <w:jc w:val="both"/>
            </w:pPr>
            <w:r>
              <w:t xml:space="preserve">Projekta iesniegšana un balsošana par to notiek Valsts vienotajā ģeotelpiskās informācijas portālā </w:t>
            </w:r>
            <w:hyperlink r:id="rId17" w:history="1">
              <w:r w:rsidRPr="00802201">
                <w:rPr>
                  <w:rStyle w:val="Hipersaite"/>
                </w:rPr>
                <w:t>www.geolatvija.lv</w:t>
              </w:r>
            </w:hyperlink>
            <w:r>
              <w:t xml:space="preserve"> atbilstoši tās funkcionalitātei.</w:t>
            </w:r>
          </w:p>
          <w:p w14:paraId="105E0F97" w14:textId="77777777" w:rsidR="00F33D91" w:rsidRDefault="00F33D91" w:rsidP="009C260A">
            <w:pPr>
              <w:jc w:val="both"/>
            </w:pPr>
            <w:r>
              <w:t>Visas izmaksas, kas saistītas ar projekta pieteikuma sagatavošanu un iesniegšanu, sedz iesniedzējs.</w:t>
            </w:r>
          </w:p>
          <w:p w14:paraId="0388BF2B" w14:textId="77777777" w:rsidR="00F33D91" w:rsidRDefault="00F33D91" w:rsidP="009C260A">
            <w:pPr>
              <w:jc w:val="both"/>
            </w:pPr>
            <w:r>
              <w:t>Administratīvo procedūru izmaksas nav paredzētas.</w:t>
            </w:r>
          </w:p>
        </w:tc>
      </w:tr>
      <w:tr w:rsidR="00F33D91" w14:paraId="45D68ADF" w14:textId="77777777" w:rsidTr="009C260A">
        <w:tc>
          <w:tcPr>
            <w:tcW w:w="3397" w:type="dxa"/>
          </w:tcPr>
          <w:p w14:paraId="04D2B989" w14:textId="77777777" w:rsidR="00F33D91" w:rsidRDefault="00F33D91" w:rsidP="00F33D91">
            <w:pPr>
              <w:pStyle w:val="Sarakstarindkopa"/>
              <w:numPr>
                <w:ilvl w:val="0"/>
                <w:numId w:val="3"/>
              </w:numPr>
              <w:ind w:left="306" w:hanging="284"/>
            </w:pPr>
            <w:r>
              <w:t>Ietekme uz pašvaldības funkcijām un cilvēkresursiem.</w:t>
            </w:r>
          </w:p>
        </w:tc>
        <w:tc>
          <w:tcPr>
            <w:tcW w:w="5664" w:type="dxa"/>
          </w:tcPr>
          <w:p w14:paraId="23246229" w14:textId="77777777" w:rsidR="00F33D91" w:rsidRPr="00031ECB" w:rsidRDefault="00F33D91" w:rsidP="009C260A">
            <w:pPr>
              <w:jc w:val="both"/>
              <w:rPr>
                <w:rFonts w:eastAsia="Times New Roman" w:cs="Times New Roman"/>
                <w:noProof/>
                <w:szCs w:val="24"/>
                <w:lang w:eastAsia="lv-LV"/>
              </w:rPr>
            </w:pPr>
            <w:r w:rsidRPr="00031ECB">
              <w:rPr>
                <w:rFonts w:eastAsia="Times New Roman" w:cs="Times New Roman"/>
                <w:noProof/>
                <w:szCs w:val="24"/>
                <w:lang w:eastAsia="lv-LV"/>
              </w:rPr>
              <w:t>Saistošie noteikumi izstrādāti līdzdalības budžeta izlietošanai, lai veicinātu projektu iesniedzēju – fizisku personu, kas sasniegušas 16 gadu vecumu, vai biedrību un nodibinājumu, kuros nav pašvaldības dalības, – iesaisti teritorijas attīstības jautājumu izlemšanā un sekmētu iedzīvotāju pilsonisko aktivitāti.</w:t>
            </w:r>
          </w:p>
        </w:tc>
      </w:tr>
      <w:tr w:rsidR="00F33D91" w14:paraId="0958C20F" w14:textId="77777777" w:rsidTr="009C260A">
        <w:tc>
          <w:tcPr>
            <w:tcW w:w="3397" w:type="dxa"/>
          </w:tcPr>
          <w:p w14:paraId="529A6DE5" w14:textId="77777777" w:rsidR="00F33D91" w:rsidRDefault="00F33D91" w:rsidP="00F33D91">
            <w:pPr>
              <w:pStyle w:val="Sarakstarindkopa"/>
              <w:numPr>
                <w:ilvl w:val="0"/>
                <w:numId w:val="3"/>
              </w:numPr>
              <w:ind w:left="306" w:hanging="284"/>
            </w:pPr>
            <w:r>
              <w:t>Informācijas par izpildes nodrošināšanu.</w:t>
            </w:r>
          </w:p>
        </w:tc>
        <w:tc>
          <w:tcPr>
            <w:tcW w:w="5664" w:type="dxa"/>
          </w:tcPr>
          <w:p w14:paraId="0976BEB7" w14:textId="77777777" w:rsidR="00F33D91" w:rsidRPr="00AD06F2" w:rsidRDefault="00F33D91" w:rsidP="009C260A">
            <w:pPr>
              <w:jc w:val="both"/>
              <w:rPr>
                <w:rFonts w:eastAsia="Times New Roman" w:cs="Times New Roman"/>
                <w:noProof/>
                <w:szCs w:val="24"/>
                <w:lang w:eastAsia="lv-LV"/>
              </w:rPr>
            </w:pPr>
            <w:r w:rsidRPr="00AD06F2">
              <w:rPr>
                <w:rFonts w:cs="Times New Roman"/>
                <w:noProof/>
                <w:szCs w:val="24"/>
                <w:shd w:val="clear" w:color="auto" w:fill="FFFFFF"/>
              </w:rPr>
              <w:t>Saistošo noteikumu izpilde tiks nodrošināta, ņemot vērā pašvaldības budžetā šim mērķim paredzētos līdzekļus.</w:t>
            </w:r>
          </w:p>
          <w:p w14:paraId="2B7F21C3" w14:textId="77777777" w:rsidR="00F33D91" w:rsidRDefault="00F33D91" w:rsidP="009C260A">
            <w:pPr>
              <w:jc w:val="both"/>
              <w:rPr>
                <w:rFonts w:cs="Times New Roman"/>
                <w:noProof/>
                <w:szCs w:val="24"/>
                <w:shd w:val="clear" w:color="auto" w:fill="FFFFFF"/>
              </w:rPr>
            </w:pPr>
            <w:r w:rsidRPr="00AD06F2">
              <w:rPr>
                <w:rFonts w:cs="Times New Roman"/>
                <w:noProof/>
                <w:szCs w:val="24"/>
                <w:shd w:val="clear" w:color="auto" w:fill="FFFFFF"/>
              </w:rPr>
              <w:t>Konkursa rīkošanu, projektu pieteikumu pieņemšanu un konsultācijas projektu iesniedzējiem nodrošinās pašvaldības Centrālā administrācija.</w:t>
            </w:r>
          </w:p>
          <w:p w14:paraId="473F00EB" w14:textId="77777777" w:rsidR="00F33D91" w:rsidRDefault="00F33D91" w:rsidP="009C260A">
            <w:pPr>
              <w:jc w:val="both"/>
              <w:rPr>
                <w:rFonts w:cs="Times New Roman"/>
                <w:noProof/>
                <w:szCs w:val="24"/>
                <w:shd w:val="clear" w:color="auto" w:fill="FFFFFF"/>
              </w:rPr>
            </w:pPr>
            <w:r>
              <w:rPr>
                <w:rFonts w:cs="Times New Roman"/>
                <w:noProof/>
                <w:szCs w:val="24"/>
                <w:shd w:val="clear" w:color="auto" w:fill="FFFFFF"/>
              </w:rPr>
              <w:t xml:space="preserve">Informācija par konkursa izsludināšanu un tā rezultātiem tiks publicēta portālā </w:t>
            </w:r>
            <w:hyperlink r:id="rId18" w:history="1">
              <w:r w:rsidRPr="00295E5D">
                <w:rPr>
                  <w:rStyle w:val="Hipersaite"/>
                  <w:rFonts w:cs="Times New Roman"/>
                  <w:noProof/>
                  <w:szCs w:val="24"/>
                  <w:shd w:val="clear" w:color="auto" w:fill="FFFFFF"/>
                </w:rPr>
                <w:t>www.geolatvija.lv</w:t>
              </w:r>
            </w:hyperlink>
            <w:r>
              <w:rPr>
                <w:rFonts w:cs="Times New Roman"/>
                <w:noProof/>
                <w:szCs w:val="24"/>
                <w:shd w:val="clear" w:color="auto" w:fill="FFFFFF"/>
              </w:rPr>
              <w:t xml:space="preserve"> un </w:t>
            </w:r>
            <w:r w:rsidRPr="00B5160D">
              <w:rPr>
                <w:rFonts w:cs="Times New Roman"/>
                <w:noProof/>
                <w:szCs w:val="24"/>
                <w:shd w:val="clear" w:color="auto" w:fill="FFFFFF"/>
              </w:rPr>
              <w:t xml:space="preserve">tīmekļvietnē </w:t>
            </w:r>
            <w:hyperlink r:id="rId19" w:history="1">
              <w:r w:rsidRPr="00295E5D">
                <w:rPr>
                  <w:rStyle w:val="Hipersaite"/>
                  <w:rFonts w:cs="Times New Roman"/>
                  <w:noProof/>
                  <w:szCs w:val="24"/>
                  <w:shd w:val="clear" w:color="auto" w:fill="FFFFFF"/>
                </w:rPr>
                <w:t>www.aluksne.lv</w:t>
              </w:r>
            </w:hyperlink>
            <w:r>
              <w:rPr>
                <w:rFonts w:cs="Times New Roman"/>
                <w:noProof/>
                <w:szCs w:val="24"/>
                <w:shd w:val="clear" w:color="auto" w:fill="FFFFFF"/>
              </w:rPr>
              <w:t>.</w:t>
            </w:r>
          </w:p>
          <w:p w14:paraId="5713115C" w14:textId="77777777" w:rsidR="00F33D91" w:rsidRPr="00AD06F2" w:rsidRDefault="00F33D91" w:rsidP="009C260A">
            <w:pPr>
              <w:jc w:val="both"/>
              <w:rPr>
                <w:rFonts w:eastAsia="Times New Roman" w:cs="Times New Roman"/>
                <w:noProof/>
                <w:szCs w:val="24"/>
                <w:lang w:eastAsia="lv-LV"/>
              </w:rPr>
            </w:pPr>
            <w:r w:rsidRPr="00AD06F2">
              <w:rPr>
                <w:rFonts w:cs="Times New Roman"/>
                <w:noProof/>
                <w:szCs w:val="24"/>
              </w:rPr>
              <w:t>Konkursā uzvarējušo projektu īstenošanu nodrošinās izpilddirektora noteikta pašvaldības administrācijas institūcija.</w:t>
            </w:r>
          </w:p>
          <w:p w14:paraId="118DD609" w14:textId="77777777" w:rsidR="00F33D91" w:rsidRPr="00AD06F2" w:rsidRDefault="00F33D91" w:rsidP="009C260A">
            <w:pPr>
              <w:jc w:val="both"/>
              <w:rPr>
                <w:rFonts w:eastAsia="Times New Roman" w:cs="Times New Roman"/>
                <w:noProof/>
                <w:szCs w:val="24"/>
                <w:lang w:eastAsia="lv-LV"/>
              </w:rPr>
            </w:pPr>
            <w:r w:rsidRPr="00AD06F2">
              <w:rPr>
                <w:rFonts w:eastAsia="Times New Roman" w:cs="Times New Roman"/>
                <w:noProof/>
                <w:szCs w:val="24"/>
                <w:lang w:eastAsia="lv-LV"/>
              </w:rPr>
              <w:t>Saistošo noteikumu izpildes nodrošināšanai nav nepieciešams veidot jaunas pašvaldības institūcijas, darba vietas vai paplašināt esošo institūciju kompetenci.</w:t>
            </w:r>
          </w:p>
        </w:tc>
      </w:tr>
      <w:tr w:rsidR="00F33D91" w14:paraId="742711CF" w14:textId="77777777" w:rsidTr="009C260A">
        <w:tc>
          <w:tcPr>
            <w:tcW w:w="3397" w:type="dxa"/>
          </w:tcPr>
          <w:p w14:paraId="2D196210" w14:textId="77777777" w:rsidR="00F33D91" w:rsidRDefault="00F33D91" w:rsidP="00F33D91">
            <w:pPr>
              <w:pStyle w:val="Sarakstarindkopa"/>
              <w:numPr>
                <w:ilvl w:val="0"/>
                <w:numId w:val="3"/>
              </w:numPr>
              <w:ind w:left="306" w:hanging="284"/>
            </w:pPr>
            <w:r>
              <w:t>Prasību un izmaksu samērīgums pret ieguvumiem, ko sniedz mērķa sasniegšana.</w:t>
            </w:r>
          </w:p>
        </w:tc>
        <w:tc>
          <w:tcPr>
            <w:tcW w:w="5664" w:type="dxa"/>
          </w:tcPr>
          <w:p w14:paraId="41D3C486" w14:textId="77777777" w:rsidR="00F33D91" w:rsidRPr="00AD06F2" w:rsidRDefault="00F33D91" w:rsidP="009C260A">
            <w:pPr>
              <w:jc w:val="both"/>
              <w:rPr>
                <w:rFonts w:cs="Times New Roman"/>
                <w:noProof/>
                <w:szCs w:val="24"/>
                <w:shd w:val="clear" w:color="auto" w:fill="FFFFFF"/>
              </w:rPr>
            </w:pPr>
            <w:r w:rsidRPr="00AD06F2">
              <w:rPr>
                <w:rFonts w:eastAsia="Times New Roman" w:cs="Times New Roman"/>
                <w:noProof/>
                <w:szCs w:val="24"/>
                <w:lang w:eastAsia="lv-LV"/>
              </w:rPr>
              <w:t>Saistošie noteikumi ir piemēroti iecerētā mērķa sasniegšanas nodrošināšanai un paredz tikai to, kas ir vajadzīgs minētā mērķa sasniegšanai. Pašvaldības izraudzītie līdzekļi ir leģitīmi un rīcība ir atbilstoša augstākstāvošajiem normatīvajiem aktiem.</w:t>
            </w:r>
          </w:p>
        </w:tc>
      </w:tr>
      <w:tr w:rsidR="00F33D91" w14:paraId="6675CEE2" w14:textId="77777777" w:rsidTr="009C260A">
        <w:tc>
          <w:tcPr>
            <w:tcW w:w="3397" w:type="dxa"/>
          </w:tcPr>
          <w:p w14:paraId="19E316D5" w14:textId="77777777" w:rsidR="00F33D91" w:rsidRDefault="00F33D91" w:rsidP="00F33D91">
            <w:pPr>
              <w:pStyle w:val="Sarakstarindkopa"/>
              <w:numPr>
                <w:ilvl w:val="0"/>
                <w:numId w:val="3"/>
              </w:numPr>
              <w:ind w:left="306" w:hanging="284"/>
            </w:pPr>
            <w:r>
              <w:t>Izstrādes gaitā veiktās konsultācijas ar privātpersonām un institūcijām.</w:t>
            </w:r>
          </w:p>
        </w:tc>
        <w:tc>
          <w:tcPr>
            <w:tcW w:w="5664" w:type="dxa"/>
          </w:tcPr>
          <w:p w14:paraId="480C0087" w14:textId="41D9CDE2" w:rsidR="00D610C9" w:rsidRPr="00D610C9" w:rsidRDefault="00D610C9" w:rsidP="00D610C9">
            <w:pPr>
              <w:spacing w:after="0" w:line="240" w:lineRule="auto"/>
              <w:jc w:val="both"/>
              <w:rPr>
                <w:rFonts w:eastAsia="Times New Roman" w:cs="Times New Roman"/>
                <w:noProof/>
                <w:szCs w:val="24"/>
                <w:lang w:eastAsia="lv-LV"/>
              </w:rPr>
            </w:pPr>
            <w:r w:rsidRPr="00D610C9">
              <w:rPr>
                <w:rFonts w:eastAsia="Times New Roman" w:cs="Times New Roman"/>
                <w:noProof/>
                <w:szCs w:val="24"/>
                <w:lang w:eastAsia="lv-LV"/>
              </w:rPr>
              <w:t>Atbilstoši Pašvaldību likuma 46. panta trešajai daļai saistošo noteikumu projekts un tam pievienotais paskaidrojuma raksts no 2025. gada 4.marta līdz 2025.</w:t>
            </w:r>
            <w:r>
              <w:rPr>
                <w:rFonts w:eastAsia="Times New Roman" w:cs="Times New Roman"/>
                <w:noProof/>
                <w:szCs w:val="24"/>
                <w:lang w:eastAsia="lv-LV"/>
              </w:rPr>
              <w:t> </w:t>
            </w:r>
            <w:r w:rsidRPr="00D610C9">
              <w:rPr>
                <w:rFonts w:eastAsia="Times New Roman" w:cs="Times New Roman"/>
                <w:noProof/>
                <w:szCs w:val="24"/>
                <w:lang w:eastAsia="lv-LV"/>
              </w:rPr>
              <w:t>gada 18.martam (ieskaitot) tika publicēts pašvaldības tīmekļvietnē www.aluksne.lv sabiedrības viedokļa noskaidrošanai.</w:t>
            </w:r>
          </w:p>
          <w:p w14:paraId="7E10D2D9" w14:textId="0F7D1CAE" w:rsidR="00F33D91" w:rsidRPr="00AD06F2" w:rsidRDefault="00D610C9" w:rsidP="00D610C9">
            <w:pPr>
              <w:jc w:val="both"/>
              <w:rPr>
                <w:rFonts w:eastAsia="Times New Roman" w:cs="Times New Roman"/>
                <w:noProof/>
                <w:szCs w:val="24"/>
                <w:lang w:eastAsia="lv-LV"/>
              </w:rPr>
            </w:pPr>
            <w:r w:rsidRPr="00D610C9">
              <w:rPr>
                <w:rFonts w:eastAsia="Times New Roman" w:cs="Times New Roman"/>
                <w:noProof/>
                <w:szCs w:val="24"/>
                <w:lang w:eastAsia="lv-LV"/>
              </w:rPr>
              <w:t>Norādītajā laikposmā par saistošo noteikumu projektu sabiedrības viedoklis netika saņemts.</w:t>
            </w:r>
          </w:p>
        </w:tc>
      </w:tr>
      <w:bookmarkEnd w:id="1"/>
    </w:tbl>
    <w:p w14:paraId="508E9E46" w14:textId="77777777" w:rsidR="00F33D91" w:rsidRPr="003F0218" w:rsidRDefault="00F33D91" w:rsidP="00F33D91">
      <w:pPr>
        <w:spacing w:after="0" w:line="240" w:lineRule="auto"/>
        <w:jc w:val="center"/>
      </w:pPr>
    </w:p>
    <w:p w14:paraId="1E911813" w14:textId="77777777" w:rsidR="00E91A32" w:rsidRDefault="00E91A32"/>
    <w:sectPr w:rsidR="00E91A32" w:rsidSect="003131C5">
      <w:pgSz w:w="11906" w:h="16838" w:code="9"/>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B6A"/>
    <w:multiLevelType w:val="hybridMultilevel"/>
    <w:tmpl w:val="85C0B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301A29"/>
    <w:multiLevelType w:val="hybridMultilevel"/>
    <w:tmpl w:val="1DB4CFAC"/>
    <w:lvl w:ilvl="0" w:tplc="7A2457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F50379"/>
    <w:multiLevelType w:val="multilevel"/>
    <w:tmpl w:val="341C6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3693009">
    <w:abstractNumId w:val="1"/>
  </w:num>
  <w:num w:numId="2" w16cid:durableId="1618490217">
    <w:abstractNumId w:val="2"/>
  </w:num>
  <w:num w:numId="3" w16cid:durableId="193701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1"/>
    <w:rsid w:val="004F7DD7"/>
    <w:rsid w:val="00BD1895"/>
    <w:rsid w:val="00D610C9"/>
    <w:rsid w:val="00E91A32"/>
    <w:rsid w:val="00F33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049F"/>
  <w15:chartTrackingRefBased/>
  <w15:docId w15:val="{8F07E247-8D6D-470A-8EF6-B046C26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3D91"/>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33D91"/>
    <w:pPr>
      <w:ind w:left="720"/>
      <w:contextualSpacing/>
    </w:pPr>
  </w:style>
  <w:style w:type="character" w:styleId="Hipersaite">
    <w:name w:val="Hyperlink"/>
    <w:basedOn w:val="Noklusjumarindkopasfonts"/>
    <w:uiPriority w:val="99"/>
    <w:unhideWhenUsed/>
    <w:rsid w:val="00F33D91"/>
    <w:rPr>
      <w:color w:val="0563C1" w:themeColor="hyperlink"/>
      <w:u w:val="single"/>
    </w:rPr>
  </w:style>
  <w:style w:type="table" w:styleId="Reatabula">
    <w:name w:val="Table Grid"/>
    <w:basedOn w:val="Parastatabula"/>
    <w:uiPriority w:val="39"/>
    <w:rsid w:val="00F33D9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F33D91"/>
    <w:pPr>
      <w:spacing w:before="100" w:beforeAutospacing="1" w:after="100" w:afterAutospacing="1" w:line="240" w:lineRule="auto"/>
    </w:pPr>
    <w:rPr>
      <w:rFonts w:eastAsia="Times New Roman" w:cs="Times New Roman"/>
      <w:kern w:val="0"/>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hyperlink" Target="http://www.aluksne.lv" TargetMode="External"/><Relationship Id="rId18" Type="http://schemas.openxmlformats.org/officeDocument/2006/relationships/hyperlink" Target="http://www.geolatvija.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eolatvija.lv" TargetMode="External"/><Relationship Id="rId12" Type="http://schemas.openxmlformats.org/officeDocument/2006/relationships/hyperlink" Target="http://www.geolatvija.lv" TargetMode="External"/><Relationship Id="rId17" Type="http://schemas.openxmlformats.org/officeDocument/2006/relationships/hyperlink" Target="http://www.geolatvija.lv" TargetMode="External"/><Relationship Id="rId2" Type="http://schemas.openxmlformats.org/officeDocument/2006/relationships/styles" Target="styles.xml"/><Relationship Id="rId16" Type="http://schemas.openxmlformats.org/officeDocument/2006/relationships/hyperlink" Target="https://likumi.lv/ta/id/336956-pasvaldibu-liku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eolatvija.lv" TargetMode="External"/><Relationship Id="rId11" Type="http://schemas.openxmlformats.org/officeDocument/2006/relationships/hyperlink" Target="http://www.geolatvija.lv" TargetMode="External"/><Relationship Id="rId5" Type="http://schemas.openxmlformats.org/officeDocument/2006/relationships/hyperlink" Target="http://www.aluksne.lv" TargetMode="External"/><Relationship Id="rId15" Type="http://schemas.openxmlformats.org/officeDocument/2006/relationships/hyperlink" Target="https://likumi.lv/ta/id/336956-pasvaldibu-likums" TargetMode="External"/><Relationship Id="rId10" Type="http://schemas.openxmlformats.org/officeDocument/2006/relationships/hyperlink" Target="http://www.geolatvija.lv" TargetMode="External"/><Relationship Id="rId19" Type="http://schemas.openxmlformats.org/officeDocument/2006/relationships/hyperlink" Target="http://www.aluksne.lv" TargetMode="External"/><Relationship Id="rId4" Type="http://schemas.openxmlformats.org/officeDocument/2006/relationships/webSettings" Target="webSettings.xml"/><Relationship Id="rId9" Type="http://schemas.openxmlformats.org/officeDocument/2006/relationships/hyperlink" Target="http://www.topografija.lv" TargetMode="External"/><Relationship Id="rId14" Type="http://schemas.openxmlformats.org/officeDocument/2006/relationships/hyperlink" Target="http://www.geo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9410</Words>
  <Characters>5364</Characters>
  <Application>Microsoft Office Word</Application>
  <DocSecurity>0</DocSecurity>
  <Lines>44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3</cp:revision>
  <dcterms:created xsi:type="dcterms:W3CDTF">2025-03-07T09:07:00Z</dcterms:created>
  <dcterms:modified xsi:type="dcterms:W3CDTF">2025-03-21T08:17:00Z</dcterms:modified>
</cp:coreProperties>
</file>