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39" w14:textId="77777777" w:rsidR="00F501B1" w:rsidRPr="00C6120C" w:rsidRDefault="00F501B1" w:rsidP="00F501B1">
      <w:pPr>
        <w:pStyle w:val="Nosaukums"/>
        <w:jc w:val="right"/>
      </w:pPr>
      <w:r w:rsidRPr="00C67C9B">
        <w:rPr>
          <w:b w:val="0"/>
          <w:i/>
        </w:rPr>
        <w:t xml:space="preserve">Lēmuma projekts </w:t>
      </w:r>
    </w:p>
    <w:p w14:paraId="33A05486" w14:textId="77777777" w:rsidR="00F501B1" w:rsidRPr="00D117A0" w:rsidRDefault="00F501B1" w:rsidP="00F501B1">
      <w:pPr>
        <w:pStyle w:val="Parastais"/>
        <w:rPr>
          <w:lang w:val="lv-LV"/>
        </w:rPr>
      </w:pPr>
    </w:p>
    <w:p w14:paraId="28D76CE7" w14:textId="77777777" w:rsidR="00F501B1" w:rsidRPr="00CE473D" w:rsidRDefault="00F501B1" w:rsidP="00F501B1">
      <w:pPr>
        <w:jc w:val="center"/>
        <w:rPr>
          <w:b/>
        </w:rPr>
      </w:pPr>
      <w:r w:rsidRPr="00CE473D">
        <w:rPr>
          <w:b/>
        </w:rPr>
        <w:t xml:space="preserve">Par Alūksnes </w:t>
      </w:r>
      <w:r>
        <w:rPr>
          <w:b/>
        </w:rPr>
        <w:t xml:space="preserve">vidusskolas īslaicīgās </w:t>
      </w:r>
      <w:r w:rsidRPr="00CE473D">
        <w:rPr>
          <w:b/>
        </w:rPr>
        <w:t>telpu nomas pakalpojumu</w:t>
      </w:r>
    </w:p>
    <w:p w14:paraId="6B7993AF" w14:textId="77777777" w:rsidR="00F501B1" w:rsidRPr="00CE473D" w:rsidRDefault="00F501B1" w:rsidP="00F501B1">
      <w:pPr>
        <w:jc w:val="both"/>
      </w:pPr>
    </w:p>
    <w:p w14:paraId="3223A280" w14:textId="77777777" w:rsidR="00F501B1" w:rsidRPr="00CE473D" w:rsidRDefault="00F501B1" w:rsidP="00F501B1">
      <w:pPr>
        <w:tabs>
          <w:tab w:val="clear" w:pos="2127"/>
          <w:tab w:val="center" w:pos="851"/>
        </w:tabs>
        <w:jc w:val="both"/>
      </w:pPr>
      <w:r>
        <w:tab/>
      </w:r>
      <w:r>
        <w:tab/>
      </w:r>
      <w:r w:rsidRPr="00CE473D">
        <w:t>Pamatojoties uz Pašvaldību likuma 10.</w:t>
      </w:r>
      <w:r>
        <w:t> </w:t>
      </w:r>
      <w:r w:rsidRPr="00CE473D">
        <w:t>panta pirmās daļas ievaddaļu, Ministru kabineta 2018.</w:t>
      </w:r>
      <w:r>
        <w:t> </w:t>
      </w:r>
      <w:r w:rsidRPr="00CE473D">
        <w:t>gada 20.</w:t>
      </w:r>
      <w:r>
        <w:t> </w:t>
      </w:r>
      <w:r w:rsidRPr="00CE473D">
        <w:t>februāra noteikum</w:t>
      </w:r>
      <w:r>
        <w:t>u</w:t>
      </w:r>
      <w:r w:rsidRPr="00CE473D">
        <w:t xml:space="preserve"> Nr.</w:t>
      </w:r>
      <w:r>
        <w:t> </w:t>
      </w:r>
      <w:r w:rsidRPr="00CE473D">
        <w:t>97 “Publiskas personas mantas iznomāšanas noteikumi”</w:t>
      </w:r>
      <w:r>
        <w:t xml:space="preserve"> 5.punktu</w:t>
      </w:r>
      <w:r w:rsidRPr="00CE473D">
        <w:t>, Maksas pakalpojumu izcenojumu noteikšanas metodiku un izcenojumu apstiprināšanas kārtību, kas apstiprināta ar Alūksnes novada pašvaldības izpilddirektora 31.05.2024. rīkojumu Nr.</w:t>
      </w:r>
      <w:r>
        <w:t> </w:t>
      </w:r>
      <w:r w:rsidRPr="00CE473D">
        <w:t>ANP/1-6/24/148,</w:t>
      </w:r>
    </w:p>
    <w:p w14:paraId="1C1DE125" w14:textId="77777777" w:rsidR="00F501B1" w:rsidRPr="00CE473D" w:rsidRDefault="00F501B1" w:rsidP="00F501B1">
      <w:pPr>
        <w:jc w:val="both"/>
      </w:pPr>
    </w:p>
    <w:p w14:paraId="4152F759" w14:textId="77777777" w:rsidR="00F501B1" w:rsidRPr="00CE473D" w:rsidRDefault="00F501B1" w:rsidP="00F501B1">
      <w:pPr>
        <w:numPr>
          <w:ilvl w:val="0"/>
          <w:numId w:val="1"/>
        </w:numPr>
        <w:tabs>
          <w:tab w:val="clear" w:pos="2127"/>
          <w:tab w:val="center" w:pos="709"/>
        </w:tabs>
        <w:jc w:val="both"/>
      </w:pPr>
      <w:r w:rsidRPr="00CE473D">
        <w:t xml:space="preserve">Apstiprināt Alūksnes </w:t>
      </w:r>
      <w:r>
        <w:t xml:space="preserve">vidusskolas </w:t>
      </w:r>
      <w:r w:rsidRPr="00CE473D">
        <w:t xml:space="preserve"> īslaicīgās telpu nomas pakalpojuma </w:t>
      </w:r>
      <w:r>
        <w:t>Lielā Ezera ielā 26, Alūksnē, Alūksnes novadā</w:t>
      </w:r>
      <w:r w:rsidRPr="00CE473D">
        <w:t xml:space="preserve"> cenrādi: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985"/>
        <w:gridCol w:w="1559"/>
      </w:tblGrid>
      <w:tr w:rsidR="00F501B1" w:rsidRPr="00CE473D" w14:paraId="4AC1C8C6" w14:textId="77777777" w:rsidTr="00DD1E64">
        <w:tc>
          <w:tcPr>
            <w:tcW w:w="993" w:type="dxa"/>
            <w:shd w:val="clear" w:color="auto" w:fill="auto"/>
          </w:tcPr>
          <w:p w14:paraId="26E7DFEF" w14:textId="77777777" w:rsidR="00F501B1" w:rsidRPr="00CE473D" w:rsidRDefault="00F501B1" w:rsidP="00DD1E64">
            <w:pPr>
              <w:jc w:val="both"/>
            </w:pPr>
            <w:proofErr w:type="spellStart"/>
            <w:r w:rsidRPr="00CE473D">
              <w:t>Nr.p.k</w:t>
            </w:r>
            <w:proofErr w:type="spellEnd"/>
            <w:r w:rsidRPr="00CE473D">
              <w:t>.</w:t>
            </w:r>
          </w:p>
        </w:tc>
        <w:tc>
          <w:tcPr>
            <w:tcW w:w="3118" w:type="dxa"/>
            <w:shd w:val="clear" w:color="auto" w:fill="auto"/>
          </w:tcPr>
          <w:p w14:paraId="28869C0F" w14:textId="77777777" w:rsidR="00F501B1" w:rsidRPr="00CE473D" w:rsidRDefault="00F501B1" w:rsidP="00DD1E64">
            <w:pPr>
              <w:jc w:val="both"/>
            </w:pPr>
            <w:r w:rsidRPr="00CE473D">
              <w:t>Pakalpojuma nosaukums</w:t>
            </w:r>
          </w:p>
        </w:tc>
        <w:tc>
          <w:tcPr>
            <w:tcW w:w="1134" w:type="dxa"/>
          </w:tcPr>
          <w:p w14:paraId="4F1DA2D2" w14:textId="77777777" w:rsidR="00F501B1" w:rsidRPr="00CE473D" w:rsidRDefault="00F501B1" w:rsidP="00DD1E64">
            <w:pPr>
              <w:jc w:val="both"/>
            </w:pPr>
            <w:r w:rsidRPr="00CE473D">
              <w:t>Vienība</w:t>
            </w:r>
          </w:p>
        </w:tc>
        <w:tc>
          <w:tcPr>
            <w:tcW w:w="1985" w:type="dxa"/>
            <w:shd w:val="clear" w:color="auto" w:fill="auto"/>
          </w:tcPr>
          <w:p w14:paraId="3EFC350C" w14:textId="77777777" w:rsidR="00F501B1" w:rsidRPr="00CE473D" w:rsidRDefault="00F501B1" w:rsidP="00DD1E64">
            <w:pPr>
              <w:jc w:val="both"/>
            </w:pPr>
            <w:r w:rsidRPr="00CE473D">
              <w:t>Cena bez PVN (EUR)</w:t>
            </w:r>
          </w:p>
        </w:tc>
        <w:tc>
          <w:tcPr>
            <w:tcW w:w="1559" w:type="dxa"/>
          </w:tcPr>
          <w:p w14:paraId="6C8BD045" w14:textId="77777777" w:rsidR="00F501B1" w:rsidRPr="00CE473D" w:rsidRDefault="00F501B1" w:rsidP="00DD1E64">
            <w:pPr>
              <w:jc w:val="both"/>
            </w:pPr>
            <w:r w:rsidRPr="00CE473D">
              <w:t>PVN likme normatīvajā aktā noteiktajā apmērā</w:t>
            </w:r>
          </w:p>
        </w:tc>
      </w:tr>
      <w:tr w:rsidR="00F501B1" w:rsidRPr="00CE473D" w14:paraId="2BCA855D" w14:textId="77777777" w:rsidTr="00DD1E64">
        <w:tc>
          <w:tcPr>
            <w:tcW w:w="993" w:type="dxa"/>
            <w:shd w:val="clear" w:color="auto" w:fill="auto"/>
          </w:tcPr>
          <w:p w14:paraId="07402861" w14:textId="77777777" w:rsidR="00F501B1" w:rsidRPr="00CE473D" w:rsidRDefault="00F501B1" w:rsidP="00DD1E64">
            <w:pPr>
              <w:jc w:val="both"/>
            </w:pPr>
            <w:r w:rsidRPr="00CE473D">
              <w:t>1.</w:t>
            </w:r>
          </w:p>
        </w:tc>
        <w:tc>
          <w:tcPr>
            <w:tcW w:w="3118" w:type="dxa"/>
            <w:shd w:val="clear" w:color="auto" w:fill="auto"/>
          </w:tcPr>
          <w:p w14:paraId="4359B98D" w14:textId="77777777" w:rsidR="00F501B1" w:rsidRDefault="00F501B1" w:rsidP="00DD1E64">
            <w:pPr>
              <w:jc w:val="both"/>
            </w:pPr>
            <w:r>
              <w:t>M</w:t>
            </w:r>
            <w:r w:rsidRPr="00CE473D">
              <w:t xml:space="preserve">ācību klase </w:t>
            </w:r>
          </w:p>
          <w:p w14:paraId="6430256C" w14:textId="77777777" w:rsidR="00F501B1" w:rsidRPr="00CE473D" w:rsidRDefault="00F501B1" w:rsidP="00DD1E64">
            <w:pPr>
              <w:jc w:val="both"/>
            </w:pPr>
          </w:p>
        </w:tc>
        <w:tc>
          <w:tcPr>
            <w:tcW w:w="1134" w:type="dxa"/>
            <w:vAlign w:val="center"/>
          </w:tcPr>
          <w:p w14:paraId="261879DA" w14:textId="77777777" w:rsidR="00F501B1" w:rsidRPr="00CE473D" w:rsidRDefault="00F501B1" w:rsidP="00DD1E64">
            <w:pPr>
              <w:jc w:val="center"/>
            </w:pPr>
            <w:r w:rsidRPr="00CE473D"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75CF7" w14:textId="77777777" w:rsidR="00F501B1" w:rsidRPr="00CE473D" w:rsidRDefault="00F501B1" w:rsidP="00DD1E64">
            <w:pPr>
              <w:jc w:val="center"/>
            </w:pPr>
            <w:r>
              <w:t>18,00</w:t>
            </w:r>
          </w:p>
        </w:tc>
        <w:tc>
          <w:tcPr>
            <w:tcW w:w="1559" w:type="dxa"/>
            <w:vAlign w:val="center"/>
          </w:tcPr>
          <w:p w14:paraId="79862F1E" w14:textId="77777777" w:rsidR="00F501B1" w:rsidRPr="00CE473D" w:rsidRDefault="00F501B1" w:rsidP="00DD1E64">
            <w:pPr>
              <w:jc w:val="center"/>
            </w:pPr>
            <w:r w:rsidRPr="00CE473D">
              <w:t>piemēro</w:t>
            </w:r>
          </w:p>
        </w:tc>
      </w:tr>
      <w:tr w:rsidR="00F501B1" w:rsidRPr="00CE473D" w14:paraId="4E501AC4" w14:textId="77777777" w:rsidTr="00DD1E64">
        <w:tc>
          <w:tcPr>
            <w:tcW w:w="993" w:type="dxa"/>
            <w:shd w:val="clear" w:color="auto" w:fill="auto"/>
          </w:tcPr>
          <w:p w14:paraId="136B172E" w14:textId="77777777" w:rsidR="00F501B1" w:rsidRPr="00CE473D" w:rsidRDefault="00F501B1" w:rsidP="00DD1E64">
            <w:pPr>
              <w:jc w:val="both"/>
            </w:pPr>
            <w:r>
              <w:t>2.</w:t>
            </w:r>
          </w:p>
        </w:tc>
        <w:tc>
          <w:tcPr>
            <w:tcW w:w="3118" w:type="dxa"/>
            <w:shd w:val="clear" w:color="auto" w:fill="auto"/>
          </w:tcPr>
          <w:p w14:paraId="0E6503C0" w14:textId="77777777" w:rsidR="00F501B1" w:rsidRDefault="00F501B1" w:rsidP="00DD1E64">
            <w:pPr>
              <w:jc w:val="both"/>
            </w:pPr>
            <w:r>
              <w:t>D</w:t>
            </w:r>
            <w:r w:rsidRPr="00CE473D">
              <w:t xml:space="preserve">atorklase </w:t>
            </w:r>
          </w:p>
          <w:p w14:paraId="544D8D87" w14:textId="77777777" w:rsidR="00F501B1" w:rsidRPr="00CE473D" w:rsidRDefault="00F501B1" w:rsidP="00DD1E64">
            <w:pPr>
              <w:jc w:val="both"/>
            </w:pPr>
          </w:p>
        </w:tc>
        <w:tc>
          <w:tcPr>
            <w:tcW w:w="1134" w:type="dxa"/>
            <w:vAlign w:val="center"/>
          </w:tcPr>
          <w:p w14:paraId="3E3B5766" w14:textId="77777777" w:rsidR="00F501B1" w:rsidRPr="00CE473D" w:rsidRDefault="00F501B1" w:rsidP="00DD1E64">
            <w:pPr>
              <w:jc w:val="center"/>
            </w:pPr>
            <w: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4B85A" w14:textId="77777777" w:rsidR="00F501B1" w:rsidRPr="00CE473D" w:rsidRDefault="00F501B1" w:rsidP="00DD1E64">
            <w:pPr>
              <w:jc w:val="center"/>
            </w:pPr>
            <w:r>
              <w:t>29,50</w:t>
            </w:r>
          </w:p>
        </w:tc>
        <w:tc>
          <w:tcPr>
            <w:tcW w:w="1559" w:type="dxa"/>
            <w:vAlign w:val="center"/>
          </w:tcPr>
          <w:p w14:paraId="3571156F" w14:textId="77777777" w:rsidR="00F501B1" w:rsidRPr="00CE473D" w:rsidRDefault="00F501B1" w:rsidP="00DD1E64">
            <w:pPr>
              <w:jc w:val="center"/>
            </w:pPr>
            <w:r>
              <w:t>piemēro</w:t>
            </w:r>
          </w:p>
        </w:tc>
      </w:tr>
    </w:tbl>
    <w:p w14:paraId="721FAA11" w14:textId="77777777" w:rsidR="00F501B1" w:rsidRPr="00CE473D" w:rsidRDefault="00F501B1" w:rsidP="00F501B1">
      <w:pPr>
        <w:jc w:val="both"/>
      </w:pPr>
    </w:p>
    <w:p w14:paraId="43CC3859" w14:textId="77777777" w:rsidR="00F501B1" w:rsidRPr="00CE473D" w:rsidRDefault="00F501B1" w:rsidP="00F501B1">
      <w:pPr>
        <w:numPr>
          <w:ilvl w:val="0"/>
          <w:numId w:val="1"/>
        </w:numPr>
        <w:tabs>
          <w:tab w:val="clear" w:pos="2127"/>
          <w:tab w:val="clear" w:pos="4962"/>
          <w:tab w:val="clear" w:pos="7655"/>
        </w:tabs>
        <w:jc w:val="both"/>
      </w:pPr>
      <w:r w:rsidRPr="00CE473D">
        <w:t xml:space="preserve">Lēmums stājas spēkā </w:t>
      </w:r>
      <w:r>
        <w:t>ar tā pieņemšanu.</w:t>
      </w:r>
    </w:p>
    <w:p w14:paraId="0C9A9703" w14:textId="77777777" w:rsidR="00F501B1" w:rsidRPr="00003514" w:rsidRDefault="00F501B1" w:rsidP="00F501B1">
      <w:pPr>
        <w:jc w:val="both"/>
      </w:pPr>
    </w:p>
    <w:p w14:paraId="62954246" w14:textId="77777777" w:rsidR="001B5883" w:rsidRDefault="001B5883"/>
    <w:sectPr w:rsidR="001B588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A29A8"/>
    <w:multiLevelType w:val="hybridMultilevel"/>
    <w:tmpl w:val="88325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B1"/>
    <w:rsid w:val="001B5883"/>
    <w:rsid w:val="004F7DD7"/>
    <w:rsid w:val="00F5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596D4"/>
  <w15:chartTrackingRefBased/>
  <w15:docId w15:val="{191857F2-64DB-4464-BA8D-0B01525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1B1"/>
    <w:pPr>
      <w:tabs>
        <w:tab w:val="center" w:pos="2127"/>
        <w:tab w:val="center" w:pos="4962"/>
        <w:tab w:val="center" w:pos="7655"/>
      </w:tabs>
      <w:spacing w:after="0" w:line="240" w:lineRule="auto"/>
    </w:pPr>
    <w:rPr>
      <w:rFonts w:eastAsia="Calibri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F501B1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Nosaukums">
    <w:name w:val="Title"/>
    <w:basedOn w:val="Parastais"/>
    <w:link w:val="NosaukumsRakstz"/>
    <w:qFormat/>
    <w:rsid w:val="00F501B1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501B1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2025-03-13T14:26:00Z</dcterms:created>
  <dcterms:modified xsi:type="dcterms:W3CDTF">2025-03-13T14:26:00Z</dcterms:modified>
</cp:coreProperties>
</file>