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F2E0" w14:textId="77777777" w:rsidR="00414CE1" w:rsidRDefault="00414CE1" w:rsidP="00414CE1">
      <w:pPr>
        <w:pStyle w:val="Parastais"/>
        <w:jc w:val="right"/>
        <w:rPr>
          <w:i/>
          <w:iCs/>
        </w:rPr>
      </w:pPr>
      <w:r w:rsidRPr="00912B78">
        <w:rPr>
          <w:i/>
          <w:iCs/>
        </w:rPr>
        <w:t>Lēmuma projekts</w:t>
      </w:r>
    </w:p>
    <w:p w14:paraId="74B4768E" w14:textId="77777777" w:rsidR="00414CE1" w:rsidRPr="00912B78" w:rsidRDefault="00414CE1" w:rsidP="00414CE1">
      <w:pPr>
        <w:pStyle w:val="Parastais"/>
        <w:jc w:val="right"/>
        <w:rPr>
          <w:i/>
          <w:iCs/>
        </w:rPr>
      </w:pPr>
    </w:p>
    <w:p w14:paraId="4A35171A" w14:textId="77777777" w:rsidR="00414CE1" w:rsidRPr="003F4837" w:rsidRDefault="00414CE1" w:rsidP="00414CE1">
      <w:pPr>
        <w:pStyle w:val="Parastais"/>
        <w:jc w:val="center"/>
        <w:rPr>
          <w:b/>
          <w:bCs/>
        </w:rPr>
      </w:pPr>
      <w:r w:rsidRPr="003F4837">
        <w:rPr>
          <w:b/>
          <w:bCs/>
        </w:rPr>
        <w:t>Par valsts budžeta finansējuma sadali Alūksnes novada pašvaldības izglītības iestādēm mācību</w:t>
      </w:r>
      <w:r>
        <w:rPr>
          <w:b/>
          <w:bCs/>
        </w:rPr>
        <w:t xml:space="preserve"> literatūras un/vai mācību</w:t>
      </w:r>
      <w:r w:rsidRPr="003F4837">
        <w:rPr>
          <w:b/>
          <w:bCs/>
        </w:rPr>
        <w:t xml:space="preserve"> līdzekļu iegādei</w:t>
      </w:r>
    </w:p>
    <w:p w14:paraId="71C4217A" w14:textId="77777777" w:rsidR="00414CE1" w:rsidRPr="00F02D98" w:rsidRDefault="00414CE1" w:rsidP="00414CE1">
      <w:pPr>
        <w:pStyle w:val="Parastais"/>
        <w:jc w:val="both"/>
      </w:pPr>
    </w:p>
    <w:p w14:paraId="0C4527C8" w14:textId="77777777" w:rsidR="00414CE1" w:rsidRDefault="00414CE1" w:rsidP="00414CE1">
      <w:pPr>
        <w:pStyle w:val="Parastais"/>
        <w:jc w:val="both"/>
      </w:pPr>
      <w:r>
        <w:tab/>
        <w:t>P</w:t>
      </w:r>
      <w:r w:rsidRPr="00501B91">
        <w:t>amatojoties uz likuma “</w:t>
      </w:r>
      <w:r w:rsidRPr="00501B91">
        <w:rPr>
          <w:shd w:val="clear" w:color="auto" w:fill="FFFFFF"/>
        </w:rPr>
        <w:t>Par valsts budžetu 202</w:t>
      </w:r>
      <w:r>
        <w:rPr>
          <w:shd w:val="clear" w:color="auto" w:fill="FFFFFF"/>
        </w:rPr>
        <w:t>5</w:t>
      </w:r>
      <w:r w:rsidRPr="00501B91">
        <w:rPr>
          <w:shd w:val="clear" w:color="auto" w:fill="FFFFFF"/>
        </w:rPr>
        <w:t>.</w:t>
      </w:r>
      <w:r>
        <w:rPr>
          <w:shd w:val="clear" w:color="auto" w:fill="FFFFFF"/>
        </w:rPr>
        <w:t> </w:t>
      </w:r>
      <w:r w:rsidRPr="00501B91">
        <w:rPr>
          <w:shd w:val="clear" w:color="auto" w:fill="FFFFFF"/>
        </w:rPr>
        <w:t>gad</w:t>
      </w:r>
      <w:r w:rsidRPr="000036BC">
        <w:rPr>
          <w:shd w:val="clear" w:color="auto" w:fill="FFFFFF"/>
        </w:rPr>
        <w:t>am un budžeta ietvaru 202</w:t>
      </w:r>
      <w:r>
        <w:rPr>
          <w:shd w:val="clear" w:color="auto" w:fill="FFFFFF"/>
        </w:rPr>
        <w:t>5</w:t>
      </w:r>
      <w:r w:rsidRPr="000036BC">
        <w:rPr>
          <w:shd w:val="clear" w:color="auto" w:fill="FFFFFF"/>
        </w:rPr>
        <w:t>., 202</w:t>
      </w:r>
      <w:r>
        <w:rPr>
          <w:shd w:val="clear" w:color="auto" w:fill="FFFFFF"/>
        </w:rPr>
        <w:t>6</w:t>
      </w:r>
      <w:r w:rsidRPr="000036BC">
        <w:rPr>
          <w:shd w:val="clear" w:color="auto" w:fill="FFFFFF"/>
        </w:rPr>
        <w:t>. un 202</w:t>
      </w:r>
      <w:r>
        <w:rPr>
          <w:shd w:val="clear" w:color="auto" w:fill="FFFFFF"/>
        </w:rPr>
        <w:t>7</w:t>
      </w:r>
      <w:r w:rsidRPr="000036BC">
        <w:rPr>
          <w:shd w:val="clear" w:color="auto" w:fill="FFFFFF"/>
        </w:rPr>
        <w:t>. gadam</w:t>
      </w:r>
      <w:r w:rsidRPr="00F02D98">
        <w:t>” 31. punktu un 4. pielikumu</w:t>
      </w:r>
      <w:r w:rsidRPr="003F4837">
        <w:t xml:space="preserve">, Ministru </w:t>
      </w:r>
      <w:r>
        <w:t>k</w:t>
      </w:r>
      <w:r w:rsidRPr="003F4837">
        <w:t xml:space="preserve">abineta </w:t>
      </w:r>
      <w:r>
        <w:t>2021. gada 11. marta</w:t>
      </w:r>
      <w:r w:rsidRPr="003F4837">
        <w:t xml:space="preserve"> </w:t>
      </w:r>
      <w:r>
        <w:t>noteikumu Nr. 155</w:t>
      </w:r>
      <w:r w:rsidRPr="003F4837">
        <w:t xml:space="preserve"> </w:t>
      </w:r>
      <w:r>
        <w:t>“</w:t>
      </w:r>
      <w:r w:rsidRPr="003F4837">
        <w:t>Kārtība, kādā valsts un pašvaldības finansē mācību līdzekļu iegādi izglītības iestādēm</w:t>
      </w:r>
      <w:r>
        <w:t>” 1.4. apakšpunktu, 4., 5., 6. </w:t>
      </w:r>
      <w:r w:rsidRPr="003F4837">
        <w:t>punktu</w:t>
      </w:r>
      <w:r>
        <w:t xml:space="preserve"> un 12.2. apakšpunktu,</w:t>
      </w:r>
      <w:r w:rsidRPr="00A25504">
        <w:t xml:space="preserve"> Izglītības un </w:t>
      </w:r>
      <w:r>
        <w:t>z</w:t>
      </w:r>
      <w:r w:rsidRPr="00A25504">
        <w:t xml:space="preserve">inātnes ministrijas </w:t>
      </w:r>
      <w:r>
        <w:t>28.04.2025</w:t>
      </w:r>
      <w:r w:rsidRPr="00A25504">
        <w:t>. rīkojumu Nr.</w:t>
      </w:r>
      <w:r>
        <w:t> </w:t>
      </w:r>
      <w:r w:rsidRPr="00A25504">
        <w:t>1-2e/2</w:t>
      </w:r>
      <w:r>
        <w:t>4/139</w:t>
      </w:r>
      <w:r w:rsidRPr="00A25504">
        <w:t xml:space="preserve"> </w:t>
      </w:r>
      <w:r>
        <w:t>“</w:t>
      </w:r>
      <w:r w:rsidRPr="00A25504">
        <w:t xml:space="preserve">Par valsts budžeta </w:t>
      </w:r>
      <w:r>
        <w:t>finansējuma</w:t>
      </w:r>
      <w:r w:rsidRPr="00A25504">
        <w:t xml:space="preserve"> piešķiršanu mācību līdzekļu iegādei pašvaldībām – pašvaldību izglītības iestādēm 202</w:t>
      </w:r>
      <w:r>
        <w:t>5</w:t>
      </w:r>
      <w:r w:rsidRPr="00A25504">
        <w:t>.</w:t>
      </w:r>
      <w:r>
        <w:t> </w:t>
      </w:r>
      <w:r w:rsidRPr="00A25504">
        <w:t>gadā</w:t>
      </w:r>
      <w:r>
        <w:t>”,</w:t>
      </w:r>
    </w:p>
    <w:p w14:paraId="5413CAD8" w14:textId="77777777" w:rsidR="00414CE1" w:rsidRPr="003F4837" w:rsidRDefault="00414CE1" w:rsidP="00414CE1">
      <w:pPr>
        <w:pStyle w:val="Parastais"/>
        <w:jc w:val="both"/>
      </w:pPr>
      <w:r>
        <w:tab/>
        <w:t>ņemot vērā Izglītības pārvaldes sniegto informāciju par to, ka Alūksnes novadā interešu izglītības programmas īsteno Alūksnes Bērnu un jauniešu centrs,</w:t>
      </w:r>
    </w:p>
    <w:p w14:paraId="16599A3C" w14:textId="77777777" w:rsidR="00414CE1" w:rsidRPr="003F4837" w:rsidRDefault="00414CE1" w:rsidP="00414CE1">
      <w:pPr>
        <w:pStyle w:val="Parastais"/>
        <w:jc w:val="both"/>
      </w:pPr>
    </w:p>
    <w:p w14:paraId="067EBA81" w14:textId="77777777" w:rsidR="00414CE1" w:rsidRPr="003F4837" w:rsidRDefault="00414CE1" w:rsidP="00414CE1">
      <w:pPr>
        <w:pStyle w:val="Parastais"/>
        <w:numPr>
          <w:ilvl w:val="0"/>
          <w:numId w:val="1"/>
        </w:numPr>
        <w:jc w:val="both"/>
      </w:pPr>
      <w:r w:rsidRPr="003F4837">
        <w:t>Valsts budžeta finansējumu mācību</w:t>
      </w:r>
      <w:r>
        <w:t xml:space="preserve"> literatūras</w:t>
      </w:r>
      <w:r w:rsidRPr="003F4837">
        <w:t xml:space="preserve"> </w:t>
      </w:r>
      <w:r>
        <w:t>un/vai mācību līdzekļu iegādei 2025</w:t>
      </w:r>
      <w:r w:rsidRPr="003F4837">
        <w:t>.</w:t>
      </w:r>
      <w:r>
        <w:t> </w:t>
      </w:r>
      <w:r w:rsidRPr="003F4837">
        <w:t xml:space="preserve">gadam sadalīt proporcionāli </w:t>
      </w:r>
      <w:r>
        <w:t>izglītojamo</w:t>
      </w:r>
      <w:r w:rsidRPr="003F4837">
        <w:t xml:space="preserve"> skaitam pašvaldības </w:t>
      </w:r>
      <w:r>
        <w:t>izglītības iestādēs uz 2024</w:t>
      </w:r>
      <w:r w:rsidRPr="003F4837">
        <w:t>.</w:t>
      </w:r>
      <w:r>
        <w:t> </w:t>
      </w:r>
      <w:r w:rsidRPr="003F4837">
        <w:t xml:space="preserve">gada </w:t>
      </w:r>
      <w:r>
        <w:t>1</w:t>
      </w:r>
      <w:r w:rsidRPr="003F4837">
        <w:t>.</w:t>
      </w:r>
      <w:r>
        <w:t> </w:t>
      </w:r>
      <w:r w:rsidRPr="003F4837">
        <w:t>septembri.</w:t>
      </w:r>
    </w:p>
    <w:p w14:paraId="46C59E03" w14:textId="77777777" w:rsidR="00414CE1" w:rsidRDefault="00414CE1" w:rsidP="00414CE1">
      <w:pPr>
        <w:pStyle w:val="Parastais"/>
        <w:numPr>
          <w:ilvl w:val="0"/>
          <w:numId w:val="1"/>
        </w:numPr>
        <w:jc w:val="both"/>
      </w:pPr>
      <w:r w:rsidRPr="003F4837">
        <w:t>Apstiprināt valsts budžeta finansējuma sadali Alūksnes novada pašvaldības izglītības iestādēm, kas īsteno licencētas pirmsskolas izglītības programmas</w:t>
      </w:r>
      <w:r>
        <w:t xml:space="preserve">, </w:t>
      </w:r>
      <w:r w:rsidRPr="003F4837">
        <w:t>vispārējās pamatizglītības programmas un vispārējās vidējās izglītības programmas</w:t>
      </w:r>
      <w:r>
        <w:t>, saskaņā ar 1. </w:t>
      </w:r>
      <w:r w:rsidRPr="003F4837">
        <w:t>pielikumu.</w:t>
      </w:r>
    </w:p>
    <w:p w14:paraId="264BA6F1" w14:textId="77777777" w:rsidR="00414CE1" w:rsidRPr="00D33DF3" w:rsidRDefault="00414CE1" w:rsidP="00414CE1">
      <w:pPr>
        <w:pStyle w:val="Parastais"/>
        <w:numPr>
          <w:ilvl w:val="0"/>
          <w:numId w:val="1"/>
        </w:numPr>
        <w:jc w:val="both"/>
      </w:pPr>
      <w:r w:rsidRPr="00D33DF3">
        <w:t xml:space="preserve">Apstiprināt valsts budžeta finansējuma sadali Alūksnes novada pašvaldības izglītības iestādēm, kas īsteno </w:t>
      </w:r>
      <w:r w:rsidRPr="00D33DF3">
        <w:rPr>
          <w:shd w:val="clear" w:color="auto" w:fill="FFFFFF"/>
        </w:rPr>
        <w:t>mazākumtautību valodas un kultūrvēstures interešu izglītības programmas</w:t>
      </w:r>
      <w:r w:rsidRPr="00D33DF3">
        <w:t>, saskaņa ar 2.</w:t>
      </w:r>
      <w:r>
        <w:t> </w:t>
      </w:r>
      <w:r w:rsidRPr="00D33DF3">
        <w:t>pielikumu.</w:t>
      </w:r>
    </w:p>
    <w:p w14:paraId="3F503AD3" w14:textId="77777777" w:rsidR="00414CE1" w:rsidRDefault="00414CE1" w:rsidP="00414CE1">
      <w:pPr>
        <w:pStyle w:val="Parastais"/>
        <w:numPr>
          <w:ilvl w:val="0"/>
          <w:numId w:val="1"/>
        </w:numPr>
        <w:jc w:val="both"/>
      </w:pPr>
      <w:r w:rsidRPr="00D33DF3">
        <w:t>Finansējums izlietojams līdz 2025.</w:t>
      </w:r>
      <w:r>
        <w:t> </w:t>
      </w:r>
      <w:r w:rsidRPr="00D33DF3">
        <w:t>gada 31.</w:t>
      </w:r>
      <w:r>
        <w:t> </w:t>
      </w:r>
      <w:r w:rsidRPr="00D33DF3">
        <w:t>decembrim</w:t>
      </w:r>
      <w:r>
        <w:t>.</w:t>
      </w:r>
    </w:p>
    <w:p w14:paraId="03ED913D" w14:textId="77777777" w:rsidR="00414CE1" w:rsidRPr="007E3182" w:rsidRDefault="00414CE1" w:rsidP="00414CE1">
      <w:pPr>
        <w:pStyle w:val="Sarakstarindkop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7E3182">
        <w:rPr>
          <w:iCs/>
          <w:sz w:val="24"/>
          <w:szCs w:val="24"/>
        </w:rPr>
        <w:t>Alūksnes novada pašvaldības Centrālās administrācijas Finanšu nodaļai nodrošināt iepriekš minēto līdzekļu iekļaušanu Alūksnes novada pašvaldības budžetā 202</w:t>
      </w:r>
      <w:r>
        <w:rPr>
          <w:iCs/>
          <w:sz w:val="24"/>
          <w:szCs w:val="24"/>
        </w:rPr>
        <w:t>5</w:t>
      </w:r>
      <w:r w:rsidRPr="007E3182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 </w:t>
      </w:r>
      <w:r w:rsidRPr="007E3182">
        <w:rPr>
          <w:iCs/>
          <w:sz w:val="24"/>
          <w:szCs w:val="24"/>
        </w:rPr>
        <w:t>gadam.</w:t>
      </w:r>
      <w:r w:rsidRPr="007E3182">
        <w:rPr>
          <w:sz w:val="24"/>
          <w:szCs w:val="24"/>
        </w:rPr>
        <w:t xml:space="preserve"> </w:t>
      </w:r>
    </w:p>
    <w:p w14:paraId="4BE989CE" w14:textId="77777777" w:rsidR="00414CE1" w:rsidRPr="007E3182" w:rsidRDefault="00414CE1" w:rsidP="00414CE1">
      <w:pPr>
        <w:pStyle w:val="Sarakstarindkop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7E3182">
        <w:rPr>
          <w:sz w:val="24"/>
          <w:szCs w:val="24"/>
        </w:rPr>
        <w:t>Lēmums stājas spēkā ar tā pieņemšanu.</w:t>
      </w:r>
    </w:p>
    <w:p w14:paraId="595889F6" w14:textId="77777777" w:rsidR="00414CE1" w:rsidRPr="003F4837" w:rsidRDefault="00414CE1" w:rsidP="00414CE1">
      <w:pPr>
        <w:pStyle w:val="Parastais"/>
        <w:jc w:val="both"/>
      </w:pPr>
    </w:p>
    <w:p w14:paraId="13F270E2" w14:textId="77777777" w:rsidR="00414CE1" w:rsidRPr="003F4837" w:rsidRDefault="00414CE1" w:rsidP="00414CE1">
      <w:pPr>
        <w:pStyle w:val="Parastais"/>
        <w:jc w:val="right"/>
      </w:pPr>
      <w:r>
        <w:t>1. p</w:t>
      </w:r>
      <w:r w:rsidRPr="003F4837">
        <w:t>ielikums</w:t>
      </w:r>
    </w:p>
    <w:p w14:paraId="56E14C5E" w14:textId="77777777" w:rsidR="00414CE1" w:rsidRPr="003F4837" w:rsidRDefault="00414CE1" w:rsidP="00414CE1">
      <w:pPr>
        <w:pStyle w:val="Parastais"/>
        <w:jc w:val="right"/>
      </w:pPr>
      <w:r w:rsidRPr="003F4837">
        <w:t>Alūksnes novada</w:t>
      </w:r>
      <w:r>
        <w:t xml:space="preserve"> pašvaldības</w:t>
      </w:r>
      <w:r w:rsidRPr="003F4837">
        <w:t xml:space="preserve"> domes</w:t>
      </w:r>
    </w:p>
    <w:p w14:paraId="1C3B89D1" w14:textId="77777777" w:rsidR="00414CE1" w:rsidRPr="003F4837" w:rsidRDefault="00414CE1" w:rsidP="00414CE1">
      <w:pPr>
        <w:pStyle w:val="Parastais"/>
        <w:jc w:val="right"/>
      </w:pPr>
      <w:r>
        <w:t>29.05.2025.</w:t>
      </w:r>
      <w:r w:rsidRPr="003F4837">
        <w:t xml:space="preserve"> lēmumam Nr........</w:t>
      </w:r>
    </w:p>
    <w:p w14:paraId="3322DE55" w14:textId="77777777" w:rsidR="00414CE1" w:rsidRPr="003F4837" w:rsidRDefault="00414CE1" w:rsidP="00414CE1">
      <w:pPr>
        <w:pStyle w:val="Parastais"/>
        <w:jc w:val="right"/>
        <w:rPr>
          <w:b/>
          <w:bCs/>
        </w:rPr>
      </w:pPr>
    </w:p>
    <w:p w14:paraId="5BB840B0" w14:textId="77777777" w:rsidR="00414CE1" w:rsidRDefault="00414CE1" w:rsidP="00414CE1">
      <w:pPr>
        <w:pStyle w:val="Parastais"/>
        <w:jc w:val="center"/>
        <w:rPr>
          <w:b/>
          <w:bCs/>
        </w:rPr>
      </w:pPr>
      <w:r w:rsidRPr="003F4837">
        <w:rPr>
          <w:b/>
          <w:bCs/>
        </w:rPr>
        <w:t>Valst</w:t>
      </w:r>
      <w:r>
        <w:rPr>
          <w:b/>
          <w:bCs/>
        </w:rPr>
        <w:t>s budžeta finansējuma sadale 2025</w:t>
      </w:r>
      <w:r w:rsidRPr="003F4837">
        <w:rPr>
          <w:b/>
          <w:bCs/>
        </w:rPr>
        <w:t>.</w:t>
      </w:r>
      <w:r>
        <w:rPr>
          <w:b/>
          <w:bCs/>
        </w:rPr>
        <w:t> </w:t>
      </w:r>
      <w:r w:rsidRPr="003F4837">
        <w:rPr>
          <w:b/>
          <w:bCs/>
        </w:rPr>
        <w:t xml:space="preserve">gadam mācību </w:t>
      </w:r>
      <w:r>
        <w:rPr>
          <w:b/>
          <w:bCs/>
        </w:rPr>
        <w:t xml:space="preserve">literatūras un /vai mācību </w:t>
      </w:r>
      <w:r w:rsidRPr="003F4837">
        <w:rPr>
          <w:b/>
          <w:bCs/>
        </w:rPr>
        <w:t>līdzekļu iegādei</w:t>
      </w:r>
      <w:r>
        <w:rPr>
          <w:b/>
          <w:bCs/>
        </w:rPr>
        <w:t xml:space="preserve"> </w:t>
      </w:r>
      <w:r w:rsidRPr="003F4837">
        <w:rPr>
          <w:b/>
          <w:bCs/>
        </w:rPr>
        <w:t xml:space="preserve">Alūksnes novada pašvaldības izglītības iestādēm, </w:t>
      </w:r>
    </w:p>
    <w:p w14:paraId="469689A9" w14:textId="77777777" w:rsidR="00414CE1" w:rsidRDefault="00414CE1" w:rsidP="00414CE1">
      <w:pPr>
        <w:pStyle w:val="Parastais"/>
        <w:jc w:val="center"/>
        <w:rPr>
          <w:b/>
          <w:bCs/>
        </w:rPr>
      </w:pPr>
      <w:r w:rsidRPr="003F4837">
        <w:rPr>
          <w:b/>
          <w:bCs/>
        </w:rPr>
        <w:t>kas īsteno licencētas pirmsskolas izglītības programmas</w:t>
      </w:r>
      <w:r>
        <w:rPr>
          <w:b/>
          <w:bCs/>
        </w:rPr>
        <w:t xml:space="preserve">, </w:t>
      </w:r>
    </w:p>
    <w:p w14:paraId="182BFD8D" w14:textId="77777777" w:rsidR="00414CE1" w:rsidRDefault="00414CE1" w:rsidP="00414CE1">
      <w:pPr>
        <w:pStyle w:val="Parastais"/>
        <w:jc w:val="center"/>
        <w:rPr>
          <w:b/>
        </w:rPr>
      </w:pPr>
      <w:r w:rsidRPr="00917B8A">
        <w:rPr>
          <w:b/>
        </w:rPr>
        <w:t>vispārējās pamatizglītības programmas un vispārējās vidējās izglītības programmas</w:t>
      </w:r>
    </w:p>
    <w:p w14:paraId="6AAAC5F0" w14:textId="77777777" w:rsidR="00414CE1" w:rsidRPr="00917B8A" w:rsidRDefault="00414CE1" w:rsidP="00414CE1">
      <w:pPr>
        <w:pStyle w:val="Parastais"/>
        <w:jc w:val="center"/>
        <w:rPr>
          <w:b/>
          <w:bCs/>
        </w:rPr>
      </w:pP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275"/>
        <w:gridCol w:w="851"/>
        <w:gridCol w:w="992"/>
        <w:gridCol w:w="851"/>
        <w:gridCol w:w="1134"/>
        <w:gridCol w:w="1134"/>
        <w:gridCol w:w="992"/>
      </w:tblGrid>
      <w:tr w:rsidR="00414CE1" w:rsidRPr="00917B8A" w14:paraId="7DFEB185" w14:textId="77777777" w:rsidTr="00994586">
        <w:trPr>
          <w:trHeight w:val="8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F79" w14:textId="77777777" w:rsidR="00414CE1" w:rsidRPr="00917B8A" w:rsidRDefault="00414CE1" w:rsidP="00994586">
            <w:pPr>
              <w:pStyle w:val="Parastais"/>
              <w:jc w:val="center"/>
              <w:rPr>
                <w:b/>
                <w:bCs/>
              </w:rPr>
            </w:pPr>
            <w:r w:rsidRPr="00917B8A">
              <w:rPr>
                <w:b/>
                <w:bCs/>
              </w:rPr>
              <w:t>Izglītības iestāde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2565" w14:textId="77777777" w:rsidR="00414CE1" w:rsidRPr="00917B8A" w:rsidRDefault="00414CE1" w:rsidP="00994586">
            <w:pPr>
              <w:pStyle w:val="Parastais"/>
              <w:jc w:val="center"/>
            </w:pPr>
            <w:r w:rsidRPr="00917B8A">
              <w:t>Izglītojamo skaits 0</w:t>
            </w:r>
            <w:r>
              <w:t>1</w:t>
            </w:r>
            <w:r w:rsidRPr="00917B8A">
              <w:t>.09.20</w:t>
            </w:r>
            <w:r>
              <w:t>24. saskaņā ar VIIS un Ministru kabineta 21.03.2021. noteikumiem Nr.155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0A3E66" w14:textId="77777777" w:rsidR="00414CE1" w:rsidRPr="00917B8A" w:rsidRDefault="00414CE1" w:rsidP="00994586">
            <w:pPr>
              <w:pStyle w:val="Parastais"/>
              <w:jc w:val="center"/>
              <w:rPr>
                <w:b/>
                <w:bCs/>
              </w:rPr>
            </w:pPr>
            <w:r w:rsidRPr="00917B8A">
              <w:rPr>
                <w:b/>
                <w:bCs/>
              </w:rPr>
              <w:t>Finansējums</w:t>
            </w:r>
            <w:r>
              <w:rPr>
                <w:b/>
                <w:bCs/>
              </w:rPr>
              <w:t xml:space="preserve"> (apaļots)</w:t>
            </w:r>
            <w:r w:rsidRPr="00917B8A">
              <w:rPr>
                <w:b/>
                <w:bCs/>
              </w:rPr>
              <w:t>, EUR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08BD6D" w14:textId="77777777" w:rsidR="00414CE1" w:rsidRPr="00E94E05" w:rsidRDefault="00414CE1" w:rsidP="00994586">
            <w:pPr>
              <w:pStyle w:val="Parastais"/>
              <w:ind w:left="113" w:right="113"/>
              <w:jc w:val="center"/>
              <w:rPr>
                <w:b/>
              </w:rPr>
            </w:pPr>
            <w:r w:rsidRPr="00E94E05">
              <w:rPr>
                <w:b/>
              </w:rPr>
              <w:t>Finansējuma samazinājums</w:t>
            </w:r>
            <w:r>
              <w:rPr>
                <w:b/>
              </w:rPr>
              <w:t xml:space="preserve"> (apaļots) </w:t>
            </w:r>
            <w:r w:rsidRPr="00E94E05">
              <w:rPr>
                <w:b/>
              </w:rPr>
              <w:t>, EUR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57C780" w14:textId="77777777" w:rsidR="00414CE1" w:rsidRPr="00E94E05" w:rsidRDefault="00414CE1" w:rsidP="00994586">
            <w:pPr>
              <w:pStyle w:val="Parastais"/>
              <w:ind w:left="113" w:right="113"/>
              <w:jc w:val="center"/>
              <w:rPr>
                <w:b/>
              </w:rPr>
            </w:pPr>
            <w:r w:rsidRPr="00E94E05">
              <w:rPr>
                <w:b/>
              </w:rPr>
              <w:t>Finansējums ar samazinājum</w:t>
            </w:r>
            <w:r>
              <w:rPr>
                <w:b/>
              </w:rPr>
              <w:t xml:space="preserve"> (apaļots)</w:t>
            </w:r>
            <w:r w:rsidRPr="00E94E05">
              <w:rPr>
                <w:b/>
              </w:rPr>
              <w:t>, EUR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D6F96" w14:textId="77777777" w:rsidR="00414CE1" w:rsidRPr="00DC30EF" w:rsidRDefault="00414CE1" w:rsidP="00994586">
            <w:pPr>
              <w:pStyle w:val="Parastais"/>
              <w:jc w:val="center"/>
              <w:rPr>
                <w:bCs/>
              </w:rPr>
            </w:pPr>
            <w:r w:rsidRPr="00DC30EF">
              <w:rPr>
                <w:bCs/>
              </w:rPr>
              <w:t>Tajā skaitā</w:t>
            </w:r>
          </w:p>
        </w:tc>
      </w:tr>
      <w:tr w:rsidR="00414CE1" w:rsidRPr="00917B8A" w14:paraId="40F463C8" w14:textId="77777777" w:rsidTr="00994586">
        <w:trPr>
          <w:cantSplit/>
          <w:trHeight w:val="139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27F7" w14:textId="77777777" w:rsidR="00414CE1" w:rsidRPr="00917B8A" w:rsidRDefault="00414CE1" w:rsidP="00994586">
            <w:pPr>
              <w:pStyle w:val="Parastais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0E4" w14:textId="77777777" w:rsidR="00414CE1" w:rsidRPr="00917B8A" w:rsidRDefault="00414CE1" w:rsidP="00994586">
            <w:pPr>
              <w:pStyle w:val="Parastais"/>
              <w:jc w:val="center"/>
            </w:pPr>
            <w:r w:rsidRPr="00917B8A">
              <w:t>5-6 gadīgie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393" w14:textId="77777777" w:rsidR="00414CE1" w:rsidRPr="00917B8A" w:rsidRDefault="00414CE1" w:rsidP="00994586">
            <w:pPr>
              <w:pStyle w:val="Parastais"/>
              <w:jc w:val="center"/>
            </w:pPr>
            <w:r w:rsidRPr="00917B8A">
              <w:t>pamata un vispārējās vidējās izglītības iestādes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C0E" w14:textId="77777777" w:rsidR="00414CE1" w:rsidRPr="00917B8A" w:rsidRDefault="00414CE1" w:rsidP="00994586">
            <w:pPr>
              <w:pStyle w:val="Parastais"/>
              <w:jc w:val="center"/>
            </w:pPr>
            <w:r w:rsidRPr="00917B8A">
              <w:t>Kopā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7660" w14:textId="77777777" w:rsidR="00414CE1" w:rsidRPr="00917B8A" w:rsidRDefault="00414CE1" w:rsidP="00994586">
            <w:pPr>
              <w:pStyle w:val="Parastais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349" w14:textId="77777777" w:rsidR="00414CE1" w:rsidRPr="00DC30EF" w:rsidRDefault="00414CE1" w:rsidP="00994586">
            <w:pPr>
              <w:pStyle w:val="Parastais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E1785BB" w14:textId="77777777" w:rsidR="00414CE1" w:rsidRPr="00DC30EF" w:rsidRDefault="00414CE1" w:rsidP="00994586">
            <w:pPr>
              <w:pStyle w:val="Parastais"/>
              <w:ind w:left="113" w:right="113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24DD8" w14:textId="77777777" w:rsidR="00414CE1" w:rsidRPr="00DC30EF" w:rsidRDefault="00414CE1" w:rsidP="00994586">
            <w:pPr>
              <w:pStyle w:val="Parastais"/>
              <w:jc w:val="center"/>
              <w:rPr>
                <w:bCs/>
              </w:rPr>
            </w:pPr>
            <w:r w:rsidRPr="00DC30EF">
              <w:rPr>
                <w:bCs/>
              </w:rPr>
              <w:t>Mācību līdzekļu</w:t>
            </w:r>
            <w:r>
              <w:rPr>
                <w:bCs/>
              </w:rPr>
              <w:t>, tajā skaitā digitālā formā</w:t>
            </w:r>
            <w:r w:rsidRPr="00DC30EF">
              <w:rPr>
                <w:bCs/>
              </w:rPr>
              <w:t xml:space="preserve"> iegādei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13B80" w14:textId="77777777" w:rsidR="00414CE1" w:rsidRPr="00DC30EF" w:rsidRDefault="00414CE1" w:rsidP="00994586">
            <w:pPr>
              <w:pStyle w:val="Parastais"/>
              <w:jc w:val="center"/>
              <w:rPr>
                <w:bCs/>
              </w:rPr>
            </w:pPr>
            <w:r w:rsidRPr="00DC30EF">
              <w:rPr>
                <w:bCs/>
              </w:rPr>
              <w:t>Mācību literatūras iegādei</w:t>
            </w:r>
          </w:p>
        </w:tc>
      </w:tr>
      <w:tr w:rsidR="00414CE1" w:rsidRPr="00917B8A" w14:paraId="0B00A4BE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807" w14:textId="77777777" w:rsidR="00414CE1" w:rsidRPr="00917B8A" w:rsidRDefault="00414CE1" w:rsidP="00994586">
            <w:pPr>
              <w:pStyle w:val="Parastais"/>
            </w:pPr>
            <w:r>
              <w:lastRenderedPageBreak/>
              <w:t>Alūksnes pirmsskolas izglītības iestāde “</w:t>
            </w:r>
            <w:r w:rsidRPr="00917B8A">
              <w:t>Sprīdītis</w:t>
            </w:r>
            <w: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85B9" w14:textId="77777777" w:rsidR="00414CE1" w:rsidRPr="00917B8A" w:rsidRDefault="00414CE1" w:rsidP="00994586">
            <w:pPr>
              <w:pStyle w:val="Parastais"/>
              <w:jc w:val="right"/>
            </w:pPr>
            <w: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C361" w14:textId="77777777" w:rsidR="00414CE1" w:rsidRPr="00917B8A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2A6C" w14:textId="77777777" w:rsidR="00414CE1" w:rsidRPr="00917B8A" w:rsidRDefault="00414CE1" w:rsidP="00994586">
            <w:pPr>
              <w:pStyle w:val="Parastais"/>
              <w:jc w:val="right"/>
            </w:pPr>
            <w: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1DF7" w14:textId="77777777" w:rsidR="00414CE1" w:rsidRPr="00917B8A" w:rsidRDefault="00414CE1" w:rsidP="00994586">
            <w:pPr>
              <w:pStyle w:val="Parastais"/>
              <w:jc w:val="right"/>
            </w:pPr>
            <w:r>
              <w:t>3 175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4776D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69200" w14:textId="77777777" w:rsidR="00414CE1" w:rsidRDefault="00414CE1" w:rsidP="00994586">
            <w:pPr>
              <w:pStyle w:val="Parastais"/>
              <w:jc w:val="right"/>
            </w:pPr>
            <w:r>
              <w:t>3 175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BD827" w14:textId="77777777" w:rsidR="00414CE1" w:rsidRPr="00917B8A" w:rsidRDefault="00414CE1" w:rsidP="00994586">
            <w:pPr>
              <w:pStyle w:val="Parastais"/>
              <w:jc w:val="right"/>
            </w:pPr>
            <w:r>
              <w:t>3 175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014F4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</w:tr>
      <w:tr w:rsidR="00414CE1" w:rsidRPr="00917B8A" w14:paraId="5A2B1648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C72B" w14:textId="77777777" w:rsidR="00414CE1" w:rsidRPr="00917B8A" w:rsidRDefault="00414CE1" w:rsidP="00994586">
            <w:pPr>
              <w:pStyle w:val="Parastais"/>
            </w:pPr>
            <w:r>
              <w:t>Alūksnes pirmsskolas izglītības iestāde “</w:t>
            </w:r>
            <w:r w:rsidRPr="00917B8A">
              <w:t>Pienenīte</w:t>
            </w:r>
            <w: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94AA" w14:textId="77777777" w:rsidR="00414CE1" w:rsidRPr="008D1CB2" w:rsidRDefault="00414CE1" w:rsidP="00994586">
            <w:pPr>
              <w:pStyle w:val="Parastais"/>
              <w:jc w:val="right"/>
            </w:pPr>
            <w: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01A4" w14:textId="77777777" w:rsidR="00414CE1" w:rsidRPr="00917B8A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E026" w14:textId="77777777" w:rsidR="00414CE1" w:rsidRPr="00917B8A" w:rsidRDefault="00414CE1" w:rsidP="00994586">
            <w:pPr>
              <w:pStyle w:val="Parastais"/>
              <w:jc w:val="right"/>
            </w:pPr>
            <w: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D71E" w14:textId="77777777" w:rsidR="00414CE1" w:rsidRPr="00917B8A" w:rsidRDefault="00414CE1" w:rsidP="00994586">
            <w:pPr>
              <w:pStyle w:val="Parastais"/>
              <w:jc w:val="right"/>
            </w:pPr>
            <w:r>
              <w:t>2 575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84E0C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70C62" w14:textId="77777777" w:rsidR="00414CE1" w:rsidRDefault="00414CE1" w:rsidP="00994586">
            <w:pPr>
              <w:pStyle w:val="Parastais"/>
              <w:jc w:val="right"/>
            </w:pPr>
            <w:r>
              <w:t>2 575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2E658" w14:textId="77777777" w:rsidR="00414CE1" w:rsidRPr="00917B8A" w:rsidRDefault="00414CE1" w:rsidP="00994586">
            <w:pPr>
              <w:pStyle w:val="Parastais"/>
              <w:jc w:val="right"/>
            </w:pPr>
            <w:r>
              <w:t>2 575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B702D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</w:tr>
      <w:tr w:rsidR="00414CE1" w:rsidRPr="00917B8A" w14:paraId="14FD68BF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C13E" w14:textId="77777777" w:rsidR="00414CE1" w:rsidRDefault="00414CE1" w:rsidP="00994586">
            <w:pPr>
              <w:pStyle w:val="Parastais"/>
            </w:pPr>
            <w:r>
              <w:t>Jaunalūksnes pirmsskolas izglītības iestāde “</w:t>
            </w:r>
            <w:r w:rsidRPr="00917B8A">
              <w:t>Pūcīte</w:t>
            </w:r>
            <w: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2F60" w14:textId="77777777" w:rsidR="00414CE1" w:rsidRDefault="00414CE1" w:rsidP="00994586">
            <w:pPr>
              <w:pStyle w:val="Parastais"/>
              <w:jc w:val="right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7D80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424A" w14:textId="77777777" w:rsidR="00414CE1" w:rsidRDefault="00414CE1" w:rsidP="00994586">
            <w:pPr>
              <w:pStyle w:val="Parastais"/>
              <w:jc w:val="right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B97F" w14:textId="77777777" w:rsidR="00414CE1" w:rsidRDefault="00414CE1" w:rsidP="00994586">
            <w:pPr>
              <w:pStyle w:val="Parastais"/>
              <w:jc w:val="right"/>
            </w:pPr>
            <w: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501D9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AAF7" w14:textId="77777777" w:rsidR="00414CE1" w:rsidRDefault="00414CE1" w:rsidP="00994586">
            <w:pPr>
              <w:pStyle w:val="Parastais"/>
              <w:jc w:val="right"/>
            </w:pPr>
            <w: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F83FF" w14:textId="77777777" w:rsidR="00414CE1" w:rsidRDefault="00414CE1" w:rsidP="00994586">
            <w:pPr>
              <w:pStyle w:val="Parastais"/>
              <w:jc w:val="right"/>
            </w:pPr>
            <w:r>
              <w:t>388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7A54E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</w:tr>
      <w:tr w:rsidR="00414CE1" w:rsidRPr="00917B8A" w14:paraId="36E9DFA7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1ED5" w14:textId="77777777" w:rsidR="00414CE1" w:rsidRDefault="00414CE1" w:rsidP="00994586">
            <w:pPr>
              <w:pStyle w:val="Parastais"/>
            </w:pPr>
            <w:r>
              <w:t>Alsviķu pirmsskolas izglītības iestāde “</w:t>
            </w:r>
            <w:r w:rsidRPr="00917B8A">
              <w:t>Saulīte</w:t>
            </w:r>
            <w: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BB1A" w14:textId="77777777" w:rsidR="00414CE1" w:rsidRDefault="00414CE1" w:rsidP="00994586">
            <w:pPr>
              <w:pStyle w:val="Parastais"/>
              <w:jc w:val="right"/>
            </w:pPr>
            <w: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B999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04AB" w14:textId="77777777" w:rsidR="00414CE1" w:rsidRDefault="00414CE1" w:rsidP="00994586">
            <w:pPr>
              <w:pStyle w:val="Parastais"/>
              <w:jc w:val="right"/>
            </w:pPr>
            <w: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BEAF" w14:textId="77777777" w:rsidR="00414CE1" w:rsidRDefault="00414CE1" w:rsidP="00994586">
            <w:pPr>
              <w:pStyle w:val="Parastais"/>
              <w:jc w:val="right"/>
            </w:pPr>
            <w:r>
              <w:t>882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8F9A5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0003" w14:textId="77777777" w:rsidR="00414CE1" w:rsidRDefault="00414CE1" w:rsidP="00994586">
            <w:pPr>
              <w:pStyle w:val="Parastais"/>
              <w:jc w:val="right"/>
            </w:pPr>
            <w: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6175" w14:textId="77777777" w:rsidR="00414CE1" w:rsidRDefault="00414CE1" w:rsidP="00994586">
            <w:pPr>
              <w:pStyle w:val="Parastais"/>
              <w:jc w:val="right"/>
            </w:pPr>
            <w:r>
              <w:t>882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B4C6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</w:tr>
      <w:tr w:rsidR="00414CE1" w:rsidRPr="00917B8A" w14:paraId="5F5E3BCE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EDB2" w14:textId="77777777" w:rsidR="00414CE1" w:rsidRDefault="00414CE1" w:rsidP="00994586">
            <w:pPr>
              <w:pStyle w:val="Parastais"/>
            </w:pPr>
            <w:r>
              <w:t>Malienas pirmsskolas izglītības iestāde “Mazputniņš”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B24F" w14:textId="77777777" w:rsidR="00414CE1" w:rsidRDefault="00414CE1" w:rsidP="00994586">
            <w:pPr>
              <w:pStyle w:val="Parastais"/>
              <w:jc w:val="right"/>
            </w:pPr>
            <w: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6913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D8B8" w14:textId="77777777" w:rsidR="00414CE1" w:rsidRDefault="00414CE1" w:rsidP="00994586">
            <w:pPr>
              <w:pStyle w:val="Parastais"/>
              <w:jc w:val="right"/>
            </w:pPr>
            <w: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C404" w14:textId="77777777" w:rsidR="00414CE1" w:rsidRDefault="00414CE1" w:rsidP="00994586">
            <w:pPr>
              <w:pStyle w:val="Parastais"/>
              <w:jc w:val="right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297A2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FF4F2" w14:textId="77777777" w:rsidR="00414CE1" w:rsidRDefault="00414CE1" w:rsidP="00994586">
            <w:pPr>
              <w:pStyle w:val="Parastais"/>
              <w:jc w:val="right"/>
            </w:pPr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D29D" w14:textId="77777777" w:rsidR="00414CE1" w:rsidRDefault="00414CE1" w:rsidP="00994586">
            <w:pPr>
              <w:pStyle w:val="Parastais"/>
              <w:jc w:val="right"/>
            </w:pPr>
            <w: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09DB0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</w:tr>
      <w:tr w:rsidR="00414CE1" w:rsidRPr="00917B8A" w14:paraId="0B274453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49FE" w14:textId="77777777" w:rsidR="00414CE1" w:rsidRPr="00917B8A" w:rsidRDefault="00414CE1" w:rsidP="00994586">
            <w:pPr>
              <w:pStyle w:val="Parastais"/>
            </w:pPr>
            <w:r>
              <w:t xml:space="preserve">Ernsta </w:t>
            </w:r>
            <w:r w:rsidRPr="00917B8A">
              <w:t>Glika Alūksnes Valsts ģimnāzija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6E49" w14:textId="77777777" w:rsidR="00414CE1" w:rsidRPr="00917B8A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DEA2" w14:textId="77777777" w:rsidR="00414CE1" w:rsidRPr="00917B8A" w:rsidRDefault="00414CE1" w:rsidP="00994586">
            <w:pPr>
              <w:pStyle w:val="Parastais"/>
              <w:jc w:val="right"/>
            </w:pPr>
            <w: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A6EB" w14:textId="77777777" w:rsidR="00414CE1" w:rsidRPr="00917B8A" w:rsidRDefault="00414CE1" w:rsidP="00994586">
            <w:pPr>
              <w:pStyle w:val="Parastais"/>
              <w:jc w:val="right"/>
            </w:pPr>
            <w: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7CCE" w14:textId="77777777" w:rsidR="00414CE1" w:rsidRPr="00917B8A" w:rsidRDefault="00414CE1" w:rsidP="00994586">
            <w:pPr>
              <w:pStyle w:val="Parastais"/>
              <w:jc w:val="right"/>
            </w:pPr>
            <w:r>
              <w:t>4 903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8F036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0762" w14:textId="77777777" w:rsidR="00414CE1" w:rsidRDefault="00414CE1" w:rsidP="00994586">
            <w:pPr>
              <w:pStyle w:val="Parastais"/>
              <w:jc w:val="right"/>
            </w:pPr>
            <w:r>
              <w:t>4 903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042F" w14:textId="77777777" w:rsidR="00414CE1" w:rsidRDefault="00414CE1" w:rsidP="00994586">
            <w:pPr>
              <w:pStyle w:val="Parastais"/>
              <w:jc w:val="right"/>
            </w:pPr>
            <w:r>
              <w:t>3 103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940CA" w14:textId="77777777" w:rsidR="00414CE1" w:rsidRDefault="00414CE1" w:rsidP="00994586">
            <w:pPr>
              <w:pStyle w:val="Parastais"/>
              <w:jc w:val="right"/>
            </w:pPr>
            <w:r>
              <w:t>1 800</w:t>
            </w:r>
          </w:p>
        </w:tc>
      </w:tr>
      <w:tr w:rsidR="00414CE1" w:rsidRPr="00917B8A" w14:paraId="3527BC99" w14:textId="77777777" w:rsidTr="00994586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EDCE" w14:textId="77777777" w:rsidR="00414CE1" w:rsidRPr="00917B8A" w:rsidRDefault="00414CE1" w:rsidP="00994586">
            <w:pPr>
              <w:pStyle w:val="Parastais"/>
            </w:pPr>
            <w:r w:rsidRPr="00917B8A">
              <w:t>Alūksnes vidusskola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E6E2" w14:textId="77777777" w:rsidR="00414CE1" w:rsidRPr="00917B8A" w:rsidRDefault="00414CE1" w:rsidP="00994586">
            <w:pPr>
              <w:pStyle w:val="Parastais"/>
              <w:jc w:val="right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2712" w14:textId="77777777" w:rsidR="00414CE1" w:rsidRPr="00917B8A" w:rsidRDefault="00414CE1" w:rsidP="00994586">
            <w:pPr>
              <w:pStyle w:val="Parastais"/>
              <w:jc w:val="right"/>
            </w:pPr>
            <w: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B582" w14:textId="77777777" w:rsidR="00414CE1" w:rsidRPr="00917B8A" w:rsidRDefault="00414CE1" w:rsidP="00994586">
            <w:pPr>
              <w:pStyle w:val="Parastais"/>
              <w:jc w:val="right"/>
            </w:pPr>
            <w: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F925" w14:textId="77777777" w:rsidR="00414CE1" w:rsidRPr="00917B8A" w:rsidRDefault="00414CE1" w:rsidP="00994586">
            <w:pPr>
              <w:pStyle w:val="Parastais"/>
              <w:jc w:val="right"/>
            </w:pPr>
            <w:r>
              <w:t>32 208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5CDC5" w14:textId="77777777" w:rsidR="00414CE1" w:rsidRDefault="00414CE1" w:rsidP="00994586">
            <w:pPr>
              <w:pStyle w:val="Parastais"/>
              <w:jc w:val="right"/>
            </w:pPr>
            <w:r>
              <w:t>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3C36C" w14:textId="77777777" w:rsidR="00414CE1" w:rsidRDefault="00414CE1" w:rsidP="00994586">
            <w:pPr>
              <w:pStyle w:val="Parastais"/>
              <w:jc w:val="right"/>
            </w:pPr>
            <w:r>
              <w:t>32 189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03AB" w14:textId="77777777" w:rsidR="00414CE1" w:rsidRDefault="00414CE1" w:rsidP="00994586">
            <w:pPr>
              <w:pStyle w:val="Parastais"/>
              <w:jc w:val="right"/>
            </w:pPr>
            <w:r>
              <w:t>21 249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6D4B" w14:textId="77777777" w:rsidR="00414CE1" w:rsidRDefault="00414CE1" w:rsidP="00994586">
            <w:pPr>
              <w:pStyle w:val="Parastais"/>
              <w:jc w:val="right"/>
            </w:pPr>
            <w:r>
              <w:t>10 940</w:t>
            </w:r>
          </w:p>
        </w:tc>
      </w:tr>
      <w:tr w:rsidR="00414CE1" w:rsidRPr="00917B8A" w14:paraId="36422D20" w14:textId="77777777" w:rsidTr="00994586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1811" w14:textId="77777777" w:rsidR="00414CE1" w:rsidRPr="00917B8A" w:rsidRDefault="00414CE1" w:rsidP="00994586">
            <w:pPr>
              <w:pStyle w:val="Parastais"/>
            </w:pPr>
            <w:r>
              <w:t>Alekseja Grāvīša Liepnas pamat</w:t>
            </w:r>
            <w:r w:rsidRPr="00917B8A">
              <w:t>skola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1FE4" w14:textId="77777777" w:rsidR="00414CE1" w:rsidRPr="00917B8A" w:rsidRDefault="00414CE1" w:rsidP="00994586">
            <w:pPr>
              <w:pStyle w:val="Parastais"/>
              <w:jc w:val="right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2DE5" w14:textId="77777777" w:rsidR="00414CE1" w:rsidRPr="00917B8A" w:rsidRDefault="00414CE1" w:rsidP="00994586">
            <w:pPr>
              <w:pStyle w:val="Parastais"/>
              <w:jc w:val="right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6947" w14:textId="77777777" w:rsidR="00414CE1" w:rsidRPr="00917B8A" w:rsidRDefault="00414CE1" w:rsidP="00994586">
            <w:pPr>
              <w:pStyle w:val="Parastais"/>
              <w:jc w:val="right"/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C6C0" w14:textId="77777777" w:rsidR="00414CE1" w:rsidRPr="00917B8A" w:rsidRDefault="00414CE1" w:rsidP="00994586">
            <w:pPr>
              <w:pStyle w:val="Parastais"/>
              <w:jc w:val="right"/>
            </w:pPr>
            <w:r>
              <w:t>2 999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7443" w14:textId="77777777" w:rsidR="00414CE1" w:rsidRDefault="00414CE1" w:rsidP="00994586">
            <w:pPr>
              <w:pStyle w:val="Parastais"/>
              <w:jc w:val="right"/>
            </w:pPr>
            <w: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5173C" w14:textId="77777777" w:rsidR="00414CE1" w:rsidRDefault="00414CE1" w:rsidP="00994586">
            <w:pPr>
              <w:pStyle w:val="Parastais"/>
              <w:jc w:val="right"/>
            </w:pPr>
            <w:r>
              <w:t>2 998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6464" w14:textId="77777777" w:rsidR="00414CE1" w:rsidRDefault="00414CE1" w:rsidP="00994586">
            <w:pPr>
              <w:pStyle w:val="Parastais"/>
              <w:jc w:val="right"/>
            </w:pPr>
            <w:r>
              <w:t>1 498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D1317" w14:textId="77777777" w:rsidR="00414CE1" w:rsidRDefault="00414CE1" w:rsidP="00994586">
            <w:pPr>
              <w:pStyle w:val="Parastais"/>
              <w:jc w:val="right"/>
            </w:pPr>
            <w:r>
              <w:t>1 500</w:t>
            </w:r>
          </w:p>
        </w:tc>
      </w:tr>
      <w:tr w:rsidR="00414CE1" w:rsidRPr="00917B8A" w14:paraId="30D396D9" w14:textId="77777777" w:rsidTr="00994586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0150" w14:textId="77777777" w:rsidR="00414CE1" w:rsidRPr="00917B8A" w:rsidRDefault="00414CE1" w:rsidP="00994586">
            <w:pPr>
              <w:pStyle w:val="Parastais"/>
            </w:pPr>
            <w:r w:rsidRPr="00917B8A">
              <w:t>Ziemeru pamatskola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27FE" w14:textId="77777777" w:rsidR="00414CE1" w:rsidRPr="00917B8A" w:rsidRDefault="00414CE1" w:rsidP="00994586">
            <w:pPr>
              <w:pStyle w:val="Parastais"/>
              <w:jc w:val="right"/>
            </w:pPr>
            <w: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EB28" w14:textId="77777777" w:rsidR="00414CE1" w:rsidRPr="00917B8A" w:rsidRDefault="00414CE1" w:rsidP="00994586">
            <w:pPr>
              <w:pStyle w:val="Parastais"/>
              <w:jc w:val="right"/>
            </w:pPr>
            <w: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13A2" w14:textId="77777777" w:rsidR="00414CE1" w:rsidRPr="00917B8A" w:rsidRDefault="00414CE1" w:rsidP="00994586">
            <w:pPr>
              <w:pStyle w:val="Parastais"/>
              <w:jc w:val="right"/>
            </w:pPr>
            <w: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E6DF" w14:textId="77777777" w:rsidR="00414CE1" w:rsidRPr="00917B8A" w:rsidRDefault="00414CE1" w:rsidP="00994586">
            <w:pPr>
              <w:pStyle w:val="Parastais"/>
              <w:jc w:val="right"/>
            </w:pPr>
            <w:r>
              <w:t>5 150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BDB9E" w14:textId="77777777" w:rsidR="00414CE1" w:rsidRDefault="00414CE1" w:rsidP="00994586">
            <w:pPr>
              <w:pStyle w:val="Parastais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17BD" w14:textId="77777777" w:rsidR="00414CE1" w:rsidRDefault="00414CE1" w:rsidP="00994586">
            <w:pPr>
              <w:pStyle w:val="Parastais"/>
              <w:jc w:val="right"/>
            </w:pPr>
            <w:r>
              <w:t>5 150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7140" w14:textId="77777777" w:rsidR="00414CE1" w:rsidRDefault="00414CE1" w:rsidP="00994586">
            <w:pPr>
              <w:pStyle w:val="Parastais"/>
              <w:jc w:val="right"/>
            </w:pPr>
            <w:r>
              <w:t>2 450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15195" w14:textId="77777777" w:rsidR="00414CE1" w:rsidRDefault="00414CE1" w:rsidP="00994586">
            <w:pPr>
              <w:pStyle w:val="Parastais"/>
              <w:jc w:val="right"/>
            </w:pPr>
            <w:r>
              <w:t>2 700</w:t>
            </w:r>
          </w:p>
        </w:tc>
      </w:tr>
      <w:tr w:rsidR="00414CE1" w:rsidRPr="00917B8A" w14:paraId="1EBF2338" w14:textId="77777777" w:rsidTr="00994586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D4E1" w14:textId="77777777" w:rsidR="00414CE1" w:rsidRPr="00917B8A" w:rsidRDefault="00414CE1" w:rsidP="00994586">
            <w:pPr>
              <w:pStyle w:val="Parastais"/>
              <w:rPr>
                <w:b/>
                <w:bCs/>
              </w:rPr>
            </w:pPr>
            <w:r w:rsidRPr="00917B8A">
              <w:rPr>
                <w:b/>
                <w:bCs/>
              </w:rPr>
              <w:t xml:space="preserve">Kopā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919C" w14:textId="77777777" w:rsidR="00414CE1" w:rsidRPr="00917B8A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C74B" w14:textId="77777777" w:rsidR="00414CE1" w:rsidRPr="00917B8A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55DF" w14:textId="77777777" w:rsidR="00414CE1" w:rsidRPr="00917B8A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2CBF" w14:textId="77777777" w:rsidR="00414CE1" w:rsidRPr="00917B8A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52 880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961F9" w14:textId="77777777" w:rsidR="00414CE1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44FB" w14:textId="77777777" w:rsidR="00414CE1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52 860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1B83" w14:textId="77777777" w:rsidR="00414CE1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51A0" w14:textId="77777777" w:rsidR="00414CE1" w:rsidRDefault="00414CE1" w:rsidP="00994586">
            <w:pPr>
              <w:pStyle w:val="Parastai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16 940</w:t>
            </w:r>
          </w:p>
        </w:tc>
      </w:tr>
    </w:tbl>
    <w:p w14:paraId="25B6E8BF" w14:textId="77777777" w:rsidR="00414CE1" w:rsidRDefault="00414CE1" w:rsidP="00414CE1"/>
    <w:p w14:paraId="750BB336" w14:textId="77777777" w:rsidR="00414CE1" w:rsidRDefault="00414CE1" w:rsidP="00414CE1">
      <w:pPr>
        <w:pStyle w:val="Parastais"/>
        <w:jc w:val="both"/>
      </w:pPr>
    </w:p>
    <w:p w14:paraId="288DBBF0" w14:textId="77777777" w:rsidR="00414CE1" w:rsidRDefault="00414CE1" w:rsidP="00414CE1">
      <w:pPr>
        <w:spacing w:after="160" w:line="259" w:lineRule="auto"/>
        <w:rPr>
          <w:sz w:val="24"/>
          <w:szCs w:val="24"/>
        </w:rPr>
      </w:pPr>
      <w:r>
        <w:br w:type="page"/>
      </w:r>
    </w:p>
    <w:p w14:paraId="606F9BAF" w14:textId="77777777" w:rsidR="00414CE1" w:rsidRPr="003F4837" w:rsidRDefault="00414CE1" w:rsidP="00414CE1">
      <w:pPr>
        <w:pStyle w:val="Parastais"/>
        <w:jc w:val="right"/>
      </w:pPr>
      <w:r>
        <w:lastRenderedPageBreak/>
        <w:t>2.p</w:t>
      </w:r>
      <w:r w:rsidRPr="003F4837">
        <w:t>ielikums</w:t>
      </w:r>
    </w:p>
    <w:p w14:paraId="34B47CF0" w14:textId="77777777" w:rsidR="00414CE1" w:rsidRPr="003F4837" w:rsidRDefault="00414CE1" w:rsidP="00414CE1">
      <w:pPr>
        <w:pStyle w:val="Parastais"/>
        <w:jc w:val="right"/>
      </w:pPr>
      <w:r w:rsidRPr="003F4837">
        <w:t>Alūksnes novada</w:t>
      </w:r>
      <w:r>
        <w:t xml:space="preserve"> pašvaldības</w:t>
      </w:r>
      <w:r w:rsidRPr="003F4837">
        <w:t xml:space="preserve"> domes </w:t>
      </w:r>
    </w:p>
    <w:p w14:paraId="0B29E067" w14:textId="77777777" w:rsidR="00414CE1" w:rsidRPr="003F4837" w:rsidRDefault="00414CE1" w:rsidP="00414CE1">
      <w:pPr>
        <w:pStyle w:val="Parastais"/>
        <w:jc w:val="right"/>
      </w:pPr>
      <w:r>
        <w:t>29.05.2025.</w:t>
      </w:r>
      <w:r w:rsidRPr="003F4837">
        <w:t xml:space="preserve"> lēmumam Nr........</w:t>
      </w:r>
    </w:p>
    <w:p w14:paraId="60928165" w14:textId="77777777" w:rsidR="00414CE1" w:rsidRPr="003F4837" w:rsidRDefault="00414CE1" w:rsidP="00414CE1">
      <w:pPr>
        <w:pStyle w:val="Parastais"/>
        <w:jc w:val="right"/>
        <w:rPr>
          <w:b/>
          <w:bCs/>
        </w:rPr>
      </w:pPr>
    </w:p>
    <w:p w14:paraId="6F7ADF72" w14:textId="77777777" w:rsidR="00414CE1" w:rsidRPr="002C5CAC" w:rsidRDefault="00414CE1" w:rsidP="00414CE1">
      <w:pPr>
        <w:pStyle w:val="Parastais"/>
        <w:jc w:val="center"/>
        <w:rPr>
          <w:b/>
          <w:bCs/>
        </w:rPr>
      </w:pPr>
      <w:r w:rsidRPr="003F4837">
        <w:rPr>
          <w:b/>
          <w:bCs/>
        </w:rPr>
        <w:t>Valst</w:t>
      </w:r>
      <w:r>
        <w:rPr>
          <w:b/>
          <w:bCs/>
        </w:rPr>
        <w:t>s budžeta finansējuma sadale 2025</w:t>
      </w:r>
      <w:r w:rsidRPr="003F4837">
        <w:rPr>
          <w:b/>
          <w:bCs/>
        </w:rPr>
        <w:t>.</w:t>
      </w:r>
      <w:r>
        <w:rPr>
          <w:b/>
          <w:bCs/>
        </w:rPr>
        <w:t> </w:t>
      </w:r>
      <w:r w:rsidRPr="003F4837">
        <w:rPr>
          <w:b/>
          <w:bCs/>
        </w:rPr>
        <w:t xml:space="preserve">gadam </w:t>
      </w:r>
      <w:r>
        <w:rPr>
          <w:b/>
          <w:bCs/>
        </w:rPr>
        <w:t xml:space="preserve">mācību </w:t>
      </w:r>
      <w:r w:rsidRPr="003F4837">
        <w:rPr>
          <w:b/>
          <w:bCs/>
        </w:rPr>
        <w:t>līdzekļu iegādei</w:t>
      </w:r>
      <w:r>
        <w:rPr>
          <w:b/>
          <w:bCs/>
        </w:rPr>
        <w:t xml:space="preserve"> </w:t>
      </w:r>
      <w:r w:rsidRPr="003F4837">
        <w:rPr>
          <w:b/>
          <w:bCs/>
        </w:rPr>
        <w:t xml:space="preserve">Alūksnes novada pašvaldības izglītības iestādēm, </w:t>
      </w:r>
      <w:r w:rsidRPr="00654B30">
        <w:rPr>
          <w:b/>
          <w:bCs/>
        </w:rPr>
        <w:t xml:space="preserve">kas īsteno </w:t>
      </w:r>
      <w:r w:rsidRPr="00654B30">
        <w:rPr>
          <w:b/>
          <w:bCs/>
          <w:shd w:val="clear" w:color="auto" w:fill="FFFFFF"/>
        </w:rPr>
        <w:t>mazākumtautību valodas un kultūrvēstures interešu izglītības programmas</w:t>
      </w:r>
    </w:p>
    <w:p w14:paraId="57DB1DDC" w14:textId="77777777" w:rsidR="00414CE1" w:rsidRPr="002C5CAC" w:rsidRDefault="00414CE1" w:rsidP="00414CE1">
      <w:pPr>
        <w:pStyle w:val="Parastais"/>
        <w:jc w:val="center"/>
        <w:rPr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8"/>
        <w:gridCol w:w="2414"/>
        <w:gridCol w:w="1523"/>
        <w:gridCol w:w="1683"/>
        <w:gridCol w:w="1723"/>
      </w:tblGrid>
      <w:tr w:rsidR="00414CE1" w14:paraId="66619D64" w14:textId="77777777" w:rsidTr="00994586">
        <w:tc>
          <w:tcPr>
            <w:tcW w:w="1442" w:type="dxa"/>
            <w:vAlign w:val="center"/>
          </w:tcPr>
          <w:p w14:paraId="0C156E19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Izglītības iestāde</w:t>
            </w:r>
          </w:p>
        </w:tc>
        <w:tc>
          <w:tcPr>
            <w:tcW w:w="2598" w:type="dxa"/>
            <w:vAlign w:val="center"/>
          </w:tcPr>
          <w:p w14:paraId="2D2D5B26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Izglītojamo skaits, </w:t>
            </w:r>
            <w:r w:rsidRPr="00654B30">
              <w:rPr>
                <w:b/>
                <w:bCs/>
                <w:shd w:val="clear" w:color="auto" w:fill="FFFFFF"/>
              </w:rPr>
              <w:t>kuri pāriet uz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654B30">
              <w:rPr>
                <w:b/>
                <w:bCs/>
                <w:shd w:val="clear" w:color="auto" w:fill="FFFFFF"/>
              </w:rPr>
              <w:t>pamatizglītības pirmā posma izglītības programmu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654B30">
              <w:rPr>
                <w:b/>
                <w:bCs/>
                <w:shd w:val="clear" w:color="auto" w:fill="FFFFFF"/>
              </w:rPr>
              <w:t>īstenošanu valsts valodā</w:t>
            </w:r>
          </w:p>
        </w:tc>
        <w:tc>
          <w:tcPr>
            <w:tcW w:w="1255" w:type="dxa"/>
            <w:vAlign w:val="center"/>
          </w:tcPr>
          <w:p w14:paraId="400E7EC5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 w:rsidRPr="00917B8A">
              <w:rPr>
                <w:b/>
                <w:bCs/>
              </w:rPr>
              <w:t>Finansējums</w:t>
            </w:r>
            <w:r>
              <w:rPr>
                <w:b/>
                <w:bCs/>
              </w:rPr>
              <w:t xml:space="preserve"> (apaļots)</w:t>
            </w:r>
            <w:r w:rsidRPr="00917B8A">
              <w:rPr>
                <w:b/>
                <w:bCs/>
              </w:rPr>
              <w:t>, EUR</w:t>
            </w:r>
          </w:p>
        </w:tc>
        <w:tc>
          <w:tcPr>
            <w:tcW w:w="1255" w:type="dxa"/>
            <w:vAlign w:val="center"/>
          </w:tcPr>
          <w:p w14:paraId="07222DBA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 w:rsidRPr="00E94E05">
              <w:rPr>
                <w:b/>
              </w:rPr>
              <w:t>Finansējuma samazinājums</w:t>
            </w:r>
            <w:r>
              <w:rPr>
                <w:b/>
              </w:rPr>
              <w:t xml:space="preserve"> (apaļots)</w:t>
            </w:r>
            <w:r w:rsidRPr="00E94E05">
              <w:rPr>
                <w:b/>
              </w:rPr>
              <w:t>, EUR</w:t>
            </w:r>
          </w:p>
        </w:tc>
        <w:tc>
          <w:tcPr>
            <w:tcW w:w="1255" w:type="dxa"/>
            <w:vAlign w:val="center"/>
          </w:tcPr>
          <w:p w14:paraId="4540EA19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 w:rsidRPr="00E94E05">
              <w:rPr>
                <w:b/>
              </w:rPr>
              <w:t>Finansējums ar samazinājum</w:t>
            </w:r>
            <w:r>
              <w:rPr>
                <w:b/>
              </w:rPr>
              <w:t>u (apaļots)</w:t>
            </w:r>
            <w:r w:rsidRPr="00E94E05">
              <w:rPr>
                <w:b/>
              </w:rPr>
              <w:t>, EUR</w:t>
            </w:r>
          </w:p>
        </w:tc>
      </w:tr>
      <w:tr w:rsidR="00414CE1" w14:paraId="6383AE63" w14:textId="77777777" w:rsidTr="00994586">
        <w:tc>
          <w:tcPr>
            <w:tcW w:w="1442" w:type="dxa"/>
            <w:vAlign w:val="center"/>
          </w:tcPr>
          <w:p w14:paraId="49DFFD23" w14:textId="77777777" w:rsidR="00414CE1" w:rsidRPr="00C422C2" w:rsidRDefault="00414CE1" w:rsidP="00994586">
            <w:pPr>
              <w:pStyle w:val="Parastais"/>
              <w:jc w:val="center"/>
            </w:pPr>
            <w:r w:rsidRPr="00C422C2">
              <w:t>Alūksnes Bērnu un jauniešu centrs</w:t>
            </w:r>
          </w:p>
        </w:tc>
        <w:tc>
          <w:tcPr>
            <w:tcW w:w="2598" w:type="dxa"/>
            <w:vAlign w:val="center"/>
          </w:tcPr>
          <w:p w14:paraId="30FF1290" w14:textId="77777777" w:rsidR="00414CE1" w:rsidRPr="00C422C2" w:rsidRDefault="00414CE1" w:rsidP="00994586">
            <w:pPr>
              <w:pStyle w:val="Parastais"/>
              <w:jc w:val="center"/>
            </w:pPr>
            <w:r w:rsidRPr="00C422C2">
              <w:t>1</w:t>
            </w:r>
          </w:p>
        </w:tc>
        <w:tc>
          <w:tcPr>
            <w:tcW w:w="1255" w:type="dxa"/>
            <w:vAlign w:val="center"/>
          </w:tcPr>
          <w:p w14:paraId="4477F8E7" w14:textId="77777777" w:rsidR="00414CE1" w:rsidRPr="00C422C2" w:rsidRDefault="00414CE1" w:rsidP="00994586">
            <w:pPr>
              <w:pStyle w:val="Parastais"/>
              <w:jc w:val="center"/>
            </w:pPr>
            <w:r>
              <w:t>1065,00</w:t>
            </w:r>
          </w:p>
        </w:tc>
        <w:tc>
          <w:tcPr>
            <w:tcW w:w="1255" w:type="dxa"/>
            <w:vAlign w:val="center"/>
          </w:tcPr>
          <w:p w14:paraId="4994808C" w14:textId="77777777" w:rsidR="00414CE1" w:rsidRPr="00C422C2" w:rsidRDefault="00414CE1" w:rsidP="00994586">
            <w:pPr>
              <w:pStyle w:val="Parastais"/>
              <w:jc w:val="center"/>
            </w:pPr>
            <w:r>
              <w:t>-7,00</w:t>
            </w:r>
          </w:p>
        </w:tc>
        <w:tc>
          <w:tcPr>
            <w:tcW w:w="1255" w:type="dxa"/>
            <w:vAlign w:val="center"/>
          </w:tcPr>
          <w:p w14:paraId="61145166" w14:textId="77777777" w:rsidR="00414CE1" w:rsidRPr="00C422C2" w:rsidRDefault="00414CE1" w:rsidP="00994586">
            <w:pPr>
              <w:pStyle w:val="Parastais"/>
              <w:jc w:val="center"/>
            </w:pPr>
            <w:r>
              <w:t>1058,00</w:t>
            </w:r>
          </w:p>
        </w:tc>
      </w:tr>
      <w:tr w:rsidR="00414CE1" w14:paraId="128E91E6" w14:textId="77777777" w:rsidTr="00994586">
        <w:tc>
          <w:tcPr>
            <w:tcW w:w="1442" w:type="dxa"/>
          </w:tcPr>
          <w:p w14:paraId="4DC6013A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</w:p>
          <w:p w14:paraId="4029F22D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Kopā</w:t>
            </w:r>
          </w:p>
        </w:tc>
        <w:tc>
          <w:tcPr>
            <w:tcW w:w="2598" w:type="dxa"/>
          </w:tcPr>
          <w:p w14:paraId="243C759A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55" w:type="dxa"/>
          </w:tcPr>
          <w:p w14:paraId="3E7852D6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1065,00</w:t>
            </w:r>
          </w:p>
        </w:tc>
        <w:tc>
          <w:tcPr>
            <w:tcW w:w="1255" w:type="dxa"/>
          </w:tcPr>
          <w:p w14:paraId="290EB6EF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-7,00</w:t>
            </w:r>
          </w:p>
        </w:tc>
        <w:tc>
          <w:tcPr>
            <w:tcW w:w="1255" w:type="dxa"/>
          </w:tcPr>
          <w:p w14:paraId="348CA479" w14:textId="77777777" w:rsidR="00414CE1" w:rsidRDefault="00414CE1" w:rsidP="00994586">
            <w:pPr>
              <w:pStyle w:val="Parastai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1058,00</w:t>
            </w:r>
          </w:p>
        </w:tc>
      </w:tr>
    </w:tbl>
    <w:p w14:paraId="027FD32A" w14:textId="77777777" w:rsidR="00414CE1" w:rsidRPr="00654B30" w:rsidRDefault="00414CE1" w:rsidP="00414CE1">
      <w:pPr>
        <w:pStyle w:val="Parastais"/>
        <w:jc w:val="center"/>
        <w:rPr>
          <w:b/>
          <w:bCs/>
        </w:rPr>
      </w:pPr>
    </w:p>
    <w:p w14:paraId="04CA3045" w14:textId="77777777" w:rsidR="00414CE1" w:rsidRDefault="00414CE1" w:rsidP="00414CE1"/>
    <w:p w14:paraId="5BAA6DA7" w14:textId="77777777" w:rsidR="00414CE1" w:rsidRDefault="00414CE1" w:rsidP="00414CE1"/>
    <w:p w14:paraId="0D23DCF0" w14:textId="77777777" w:rsidR="00A128EF" w:rsidRDefault="00A128EF"/>
    <w:sectPr w:rsidR="00A128EF" w:rsidSect="00F02D98">
      <w:pgSz w:w="11906" w:h="16838"/>
      <w:pgMar w:top="1134" w:right="1247" w:bottom="1134" w:left="19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6D7E"/>
    <w:multiLevelType w:val="multilevel"/>
    <w:tmpl w:val="F3C69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7642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1"/>
    <w:rsid w:val="00414CE1"/>
    <w:rsid w:val="004F7DD7"/>
    <w:rsid w:val="00A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F1D68"/>
  <w15:chartTrackingRefBased/>
  <w15:docId w15:val="{387A4F7B-BC83-456A-9A89-66925DB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4CE1"/>
    <w:pPr>
      <w:spacing w:after="0" w:line="240" w:lineRule="auto"/>
    </w:pPr>
    <w:rPr>
      <w:rFonts w:eastAsia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414CE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ais"/>
    <w:link w:val="PamattekstsaratkpiRakstz"/>
    <w:rsid w:val="00414CE1"/>
    <w:pPr>
      <w:ind w:left="1080" w:hanging="360"/>
      <w:jc w:val="both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14CE1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414CE1"/>
    <w:pPr>
      <w:ind w:left="720"/>
      <w:contextualSpacing/>
    </w:pPr>
  </w:style>
  <w:style w:type="table" w:styleId="Reatabula">
    <w:name w:val="Table Grid"/>
    <w:basedOn w:val="Parastatabula"/>
    <w:uiPriority w:val="39"/>
    <w:rsid w:val="00414C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2456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2025-05-21T08:08:00Z</dcterms:created>
  <dcterms:modified xsi:type="dcterms:W3CDTF">2025-05-21T08:09:00Z</dcterms:modified>
</cp:coreProperties>
</file>