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7C5" w14:textId="77777777" w:rsidR="00170EB6" w:rsidRDefault="00170EB6" w:rsidP="00170EB6">
      <w:pPr>
        <w:spacing w:after="0" w:line="240" w:lineRule="auto"/>
        <w:jc w:val="right"/>
        <w:rPr>
          <w:i/>
        </w:rPr>
      </w:pPr>
      <w:r w:rsidRPr="001F2638">
        <w:rPr>
          <w:i/>
        </w:rPr>
        <w:t>Lēmuma projekts</w:t>
      </w:r>
    </w:p>
    <w:p w14:paraId="68CDF051" w14:textId="77777777" w:rsidR="00170EB6" w:rsidRDefault="00170EB6" w:rsidP="00170EB6">
      <w:pPr>
        <w:spacing w:after="0" w:line="240" w:lineRule="auto"/>
        <w:rPr>
          <w:i/>
        </w:rPr>
      </w:pPr>
    </w:p>
    <w:p w14:paraId="3F894817" w14:textId="77777777" w:rsidR="00170EB6" w:rsidRPr="00595C24" w:rsidRDefault="00170EB6" w:rsidP="00170EB6">
      <w:pPr>
        <w:spacing w:after="0" w:line="240" w:lineRule="auto"/>
        <w:jc w:val="center"/>
        <w:rPr>
          <w:b/>
          <w:bCs/>
        </w:rPr>
      </w:pPr>
      <w:r w:rsidRPr="00595C24">
        <w:rPr>
          <w:b/>
          <w:bCs/>
        </w:rPr>
        <w:t>Par Alūksnes novada pašvaldības domes 2024.</w:t>
      </w:r>
      <w:r>
        <w:rPr>
          <w:b/>
          <w:bCs/>
        </w:rPr>
        <w:t> </w:t>
      </w:r>
      <w:r w:rsidRPr="00595C24">
        <w:rPr>
          <w:b/>
          <w:bCs/>
        </w:rPr>
        <w:t>gada 26.</w:t>
      </w:r>
      <w:r>
        <w:rPr>
          <w:b/>
          <w:bCs/>
        </w:rPr>
        <w:t> </w:t>
      </w:r>
      <w:r w:rsidRPr="00595C24">
        <w:rPr>
          <w:b/>
          <w:bCs/>
        </w:rPr>
        <w:t>septembra noteikumu Nr.</w:t>
      </w:r>
      <w:r>
        <w:rPr>
          <w:b/>
          <w:bCs/>
        </w:rPr>
        <w:t> </w:t>
      </w:r>
      <w:r w:rsidRPr="00595C24">
        <w:rPr>
          <w:b/>
          <w:bCs/>
        </w:rPr>
        <w:t>6/2024 “Kārtība, kādā tiek kontrolēti atlīdzības maksājumi/kompensācijas par vispārējas tautsaimnieciskās nozīmes pakalpojumu” precizēšanu</w:t>
      </w:r>
    </w:p>
    <w:p w14:paraId="109F6D14" w14:textId="77777777" w:rsidR="00170EB6" w:rsidRDefault="00170EB6" w:rsidP="00170EB6">
      <w:pPr>
        <w:spacing w:after="0" w:line="240" w:lineRule="auto"/>
        <w:jc w:val="both"/>
      </w:pPr>
    </w:p>
    <w:p w14:paraId="4F28601F" w14:textId="77777777" w:rsidR="00170EB6" w:rsidRDefault="00170EB6" w:rsidP="00170EB6">
      <w:pPr>
        <w:spacing w:after="0" w:line="240" w:lineRule="auto"/>
        <w:ind w:firstLine="720"/>
        <w:jc w:val="both"/>
      </w:pPr>
      <w:r>
        <w:t>Ņemot vērā Finanšu ministrijas 28.03.2025. vēstuli un pamatojoties uz Valsts pārvaldes iekārtas likuma 72. panta pirmās daļas 1. punktu, Alūksnes novada pašvaldības domes 30.03.2023. saistošo noteikumu Nr. 2/2023 “Alūksnes novada pašvaldības nolikums” 35. punktu,</w:t>
      </w:r>
    </w:p>
    <w:p w14:paraId="5AFC6684" w14:textId="77777777" w:rsidR="00170EB6" w:rsidRDefault="00170EB6" w:rsidP="00170EB6">
      <w:pPr>
        <w:spacing w:after="0" w:line="240" w:lineRule="auto"/>
        <w:jc w:val="both"/>
      </w:pPr>
    </w:p>
    <w:p w14:paraId="1FF5CD51" w14:textId="77777777" w:rsidR="00170EB6" w:rsidRDefault="00170EB6" w:rsidP="00170EB6">
      <w:pPr>
        <w:spacing w:after="0" w:line="240" w:lineRule="auto"/>
        <w:ind w:firstLine="720"/>
        <w:jc w:val="both"/>
      </w:pPr>
      <w:r>
        <w:t>Precizēt Alūksnes novada pašvaldības domes 2024. gada 26. septembra noteikumus Nr. 6/2024 “Kārtība, kādā tiek kontrolēti atlīdzības maksājumi/kompensācijas par vispārējas tautsaimnieciskās nozīmes pakalpojumu”:</w:t>
      </w:r>
    </w:p>
    <w:p w14:paraId="33D25D77" w14:textId="77777777" w:rsidR="00170EB6" w:rsidRDefault="00170EB6" w:rsidP="00170EB6">
      <w:pPr>
        <w:pStyle w:val="Sarakstarindkopa"/>
        <w:numPr>
          <w:ilvl w:val="0"/>
          <w:numId w:val="1"/>
        </w:numPr>
        <w:spacing w:after="0" w:line="240" w:lineRule="auto"/>
        <w:jc w:val="both"/>
      </w:pPr>
      <w:r>
        <w:t>Izteikt 5. punkta ievaddaļu šādā redakcijā:</w:t>
      </w:r>
    </w:p>
    <w:p w14:paraId="28586B2F" w14:textId="77777777" w:rsidR="00170EB6" w:rsidRDefault="00170EB6" w:rsidP="00170EB6">
      <w:pPr>
        <w:pStyle w:val="Sarakstarindkopa"/>
        <w:spacing w:after="0" w:line="240" w:lineRule="auto"/>
        <w:jc w:val="both"/>
      </w:pPr>
      <w:r>
        <w:t>“5. Kompensācija šo noteikumu izpratnē var būt:”</w:t>
      </w:r>
    </w:p>
    <w:p w14:paraId="6314B274" w14:textId="77777777" w:rsidR="00170EB6" w:rsidRDefault="00170EB6" w:rsidP="00170EB6">
      <w:pPr>
        <w:pStyle w:val="Sarakstarindkopa"/>
        <w:numPr>
          <w:ilvl w:val="0"/>
          <w:numId w:val="1"/>
        </w:numPr>
        <w:spacing w:after="0" w:line="240" w:lineRule="auto"/>
        <w:jc w:val="both"/>
      </w:pPr>
      <w:r>
        <w:t>Papildināt 5. punktu ar 5.8. apakšpunktu šādā redakcijā:</w:t>
      </w:r>
    </w:p>
    <w:p w14:paraId="2C0EF7D0" w14:textId="77777777" w:rsidR="00170EB6" w:rsidRDefault="00170EB6" w:rsidP="00170EB6">
      <w:pPr>
        <w:pStyle w:val="Sarakstarindkopa"/>
        <w:spacing w:after="0" w:line="240" w:lineRule="auto"/>
        <w:jc w:val="both"/>
      </w:pPr>
      <w:r>
        <w:t>“5.8. un cita veida publisko līdzekļu piešķiršana Komercdarbības atbalsta kontroles likuma 7. panta izpratnē.”</w:t>
      </w:r>
    </w:p>
    <w:p w14:paraId="5545C113" w14:textId="77777777" w:rsidR="00170EB6" w:rsidRDefault="00170EB6" w:rsidP="00170EB6">
      <w:pPr>
        <w:pStyle w:val="Sarakstarindkopa"/>
        <w:numPr>
          <w:ilvl w:val="0"/>
          <w:numId w:val="1"/>
        </w:numPr>
        <w:spacing w:after="0" w:line="240" w:lineRule="auto"/>
        <w:jc w:val="both"/>
      </w:pPr>
      <w:r>
        <w:t>Izteikt 19. punktu šādā redakcijā:</w:t>
      </w:r>
    </w:p>
    <w:p w14:paraId="700CDFEC" w14:textId="77777777" w:rsidR="00170EB6" w:rsidRDefault="00170EB6" w:rsidP="00170EB6">
      <w:pPr>
        <w:pStyle w:val="Sarakstarindkopa"/>
        <w:spacing w:after="0" w:line="240" w:lineRule="auto"/>
        <w:jc w:val="both"/>
      </w:pPr>
      <w:r>
        <w:t>“19. Kapitāla daļu turētāja pārstāvis izskata kompensācijas aprēķinu, ja nepieciešams pieprasa papildu informāciju, uzkrāj informāciju, nodrošina informācijas pieejamību pilnvarojuma periodā un vismaz 10 (desmit) gadus pēc pilnvarojuma perioda beigām, veic starpposma pārbaudes vismaz reizi trijos gados pilnvarojuma līguma periodā, beidzoties pilnvarojuma līguma periodam apkopo kompensācijas aprēķinu un izvērtē to kopumā par visu pilnvarojuma līguma periodu un ierosina Alūksnes novada pašvaldības domei pieņemt lēmumu par kompensācijas piešķiršanu vai nepiešķiršanu, ņemot vērā Alūksnes novada pašvaldības kārtējam gadam apstiprināto budžetu, vai pārmērīgas kompensācijas atmaksu.”</w:t>
      </w:r>
    </w:p>
    <w:p w14:paraId="1910D6C8" w14:textId="77777777" w:rsidR="00083395" w:rsidRDefault="00083395"/>
    <w:sectPr w:rsidR="00083395"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667BE"/>
    <w:multiLevelType w:val="hybridMultilevel"/>
    <w:tmpl w:val="51102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564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B6"/>
    <w:rsid w:val="00083395"/>
    <w:rsid w:val="00170EB6"/>
    <w:rsid w:val="004F7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7031"/>
  <w15:chartTrackingRefBased/>
  <w15:docId w15:val="{EAB07FBE-AD63-414A-86B4-E4AC0AA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0E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7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615</Characters>
  <Application>Microsoft Office Word</Application>
  <DocSecurity>0</DocSecurity>
  <Lines>5</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2025-04-28T12:19:00Z</dcterms:created>
  <dcterms:modified xsi:type="dcterms:W3CDTF">2025-04-28T12:19:00Z</dcterms:modified>
</cp:coreProperties>
</file>