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0FAC1" w14:textId="77777777" w:rsidR="00E82521" w:rsidRPr="00E82521" w:rsidRDefault="00E82521" w:rsidP="00E82521">
      <w:pPr>
        <w:spacing w:after="0" w:line="240" w:lineRule="auto"/>
        <w:jc w:val="right"/>
        <w:rPr>
          <w:rFonts w:eastAsia="Calibri" w:cs="Times New Roman"/>
          <w:bCs/>
          <w:iCs/>
          <w:kern w:val="0"/>
          <w14:ligatures w14:val="none"/>
        </w:rPr>
      </w:pPr>
      <w:bookmarkStart w:id="0" w:name="_Hlk238564325"/>
      <w:r w:rsidRPr="00E82521">
        <w:rPr>
          <w:rFonts w:eastAsia="Calibri" w:cs="Times New Roman"/>
          <w:bCs/>
          <w:iCs/>
          <w:kern w:val="0"/>
          <w14:ligatures w14:val="none"/>
        </w:rPr>
        <w:t>Lēmuma projekts</w:t>
      </w:r>
    </w:p>
    <w:p w14:paraId="66806ED1" w14:textId="77777777" w:rsidR="00E82521" w:rsidRPr="00E82521" w:rsidRDefault="00E82521" w:rsidP="00E82521">
      <w:pPr>
        <w:spacing w:after="0" w:line="240" w:lineRule="auto"/>
        <w:jc w:val="right"/>
        <w:rPr>
          <w:rFonts w:eastAsia="Calibri" w:cs="Times New Roman"/>
          <w:bCs/>
          <w:kern w:val="0"/>
          <w14:ligatures w14:val="none"/>
        </w:rPr>
      </w:pPr>
    </w:p>
    <w:p w14:paraId="6828244F" w14:textId="77777777" w:rsidR="00E82521" w:rsidRPr="00E82521" w:rsidRDefault="00E82521" w:rsidP="00E82521">
      <w:pPr>
        <w:spacing w:after="0" w:line="240" w:lineRule="auto"/>
        <w:jc w:val="center"/>
        <w:rPr>
          <w:rFonts w:eastAsia="Calibri" w:cs="Times New Roman"/>
          <w:b/>
          <w:kern w:val="0"/>
          <w14:ligatures w14:val="none"/>
        </w:rPr>
      </w:pPr>
      <w:r w:rsidRPr="00E82521">
        <w:rPr>
          <w:rFonts w:eastAsia="Calibri" w:cs="Times New Roman"/>
          <w:b/>
          <w:kern w:val="0"/>
          <w14:ligatures w14:val="none"/>
        </w:rPr>
        <w:t>Par saistošo noteikumu Nr. __/2026 “Grozījumi Alūksnes novada pašvaldības domes 2024. gada 28. marta saistošajos noteikumos Nr.11/2024 “Par interešu izglītības programmu īstenošanu Alūksnes novadā”” izdošanu</w:t>
      </w:r>
    </w:p>
    <w:p w14:paraId="6705E97A" w14:textId="77777777" w:rsidR="00E82521" w:rsidRPr="00E82521" w:rsidRDefault="00E82521" w:rsidP="00E82521">
      <w:pPr>
        <w:spacing w:after="0" w:line="360" w:lineRule="auto"/>
        <w:ind w:firstLine="426"/>
        <w:jc w:val="both"/>
        <w:rPr>
          <w:rFonts w:eastAsia="Calibri" w:cs="Times New Roman"/>
          <w:kern w:val="0"/>
          <w14:ligatures w14:val="none"/>
        </w:rPr>
      </w:pPr>
    </w:p>
    <w:p w14:paraId="68DAD40B" w14:textId="77777777" w:rsidR="00E82521" w:rsidRPr="00E82521" w:rsidRDefault="00E82521" w:rsidP="00E82521">
      <w:pPr>
        <w:spacing w:after="0" w:line="360" w:lineRule="auto"/>
        <w:ind w:firstLine="426"/>
        <w:jc w:val="both"/>
        <w:rPr>
          <w:rFonts w:eastAsia="Calibri" w:cs="Times New Roman"/>
          <w:kern w:val="0"/>
          <w14:ligatures w14:val="none"/>
        </w:rPr>
      </w:pPr>
      <w:r w:rsidRPr="00E82521">
        <w:rPr>
          <w:rFonts w:eastAsia="Calibri" w:cs="Times New Roman"/>
          <w:kern w:val="0"/>
          <w14:ligatures w14:val="none"/>
        </w:rPr>
        <w:t xml:space="preserve">Pamatojoties uz Pašvaldību likuma 44. panta otro daļu, </w:t>
      </w:r>
    </w:p>
    <w:p w14:paraId="2E05AB53" w14:textId="77777777" w:rsidR="00E82521" w:rsidRPr="00E82521" w:rsidRDefault="00E82521" w:rsidP="00E82521">
      <w:pPr>
        <w:spacing w:before="100" w:beforeAutospacing="1" w:after="100" w:afterAutospacing="1" w:line="240" w:lineRule="auto"/>
        <w:ind w:firstLine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E82521">
        <w:rPr>
          <w:rFonts w:eastAsia="Times New Roman" w:cs="Times New Roman"/>
          <w:bCs/>
          <w:kern w:val="0"/>
          <w:lang w:eastAsia="lv-LV"/>
          <w14:ligatures w14:val="none"/>
        </w:rPr>
        <w:t>izdot saistošos noteikumus Nr. __/2026 “Grozījumi Alūksnes novada pašvaldības domes 2024. gada 28. marta saistošajos noteikumos Nr. 11/2024 “Par interešu izglītības programmu īstenošanu Alūksnes novadā””.</w:t>
      </w:r>
    </w:p>
    <w:p w14:paraId="05BB65E0" w14:textId="5835A1C6" w:rsidR="00E82521" w:rsidRPr="00E82521" w:rsidRDefault="00E82521" w:rsidP="00E82521">
      <w:pPr>
        <w:spacing w:after="0" w:line="240" w:lineRule="auto"/>
        <w:jc w:val="both"/>
        <w:rPr>
          <w:rFonts w:eastAsia="Calibri" w:cs="Times New Roman"/>
          <w:bCs/>
          <w:kern w:val="0"/>
          <w14:ligatures w14:val="none"/>
        </w:rPr>
      </w:pPr>
    </w:p>
    <w:p w14:paraId="097C1E87" w14:textId="77777777" w:rsidR="00E82521" w:rsidRPr="00E82521" w:rsidRDefault="00E82521" w:rsidP="00E82521">
      <w:pPr>
        <w:spacing w:before="100" w:beforeAutospacing="1" w:after="100" w:afterAutospacing="1" w:line="240" w:lineRule="auto"/>
        <w:jc w:val="right"/>
        <w:rPr>
          <w:rFonts w:eastAsia="Times New Roman" w:cs="Times New Roman"/>
          <w:i/>
          <w:iCs/>
          <w:kern w:val="0"/>
          <w:lang w:eastAsia="lv-LV"/>
          <w14:ligatures w14:val="none"/>
        </w:rPr>
      </w:pPr>
      <w:r w:rsidRPr="00E82521">
        <w:rPr>
          <w:rFonts w:eastAsia="Times New Roman" w:cs="Times New Roman"/>
          <w:i/>
          <w:iCs/>
          <w:kern w:val="0"/>
          <w:lang w:eastAsia="lv-LV"/>
          <w14:ligatures w14:val="none"/>
        </w:rPr>
        <w:t>Saistošo noteikumu projekts</w:t>
      </w:r>
    </w:p>
    <w:p w14:paraId="79ABCBAD" w14:textId="77777777" w:rsidR="00E82521" w:rsidRPr="00E82521" w:rsidRDefault="00E82521" w:rsidP="00E8252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lang w:eastAsia="lv-LV"/>
          <w14:ligatures w14:val="none"/>
        </w:rPr>
      </w:pPr>
      <w:r w:rsidRPr="00E82521">
        <w:rPr>
          <w:rFonts w:eastAsia="Times New Roman" w:cs="Times New Roman"/>
          <w:b/>
          <w:bCs/>
          <w:kern w:val="0"/>
          <w:lang w:eastAsia="lv-LV"/>
          <w14:ligatures w14:val="none"/>
        </w:rPr>
        <w:t>Grozījumi Alūksnes novada pašvaldības domes 2024. gada 28. marta saistošajos noteikumos Nr. 11/2024 “Par interešu izglītības programmu īstenošanu Alūksnes novadā”</w:t>
      </w:r>
    </w:p>
    <w:p w14:paraId="4EB19340" w14:textId="77777777" w:rsidR="00E82521" w:rsidRPr="00E82521" w:rsidRDefault="00E82521" w:rsidP="00E82521">
      <w:pPr>
        <w:spacing w:after="0" w:line="360" w:lineRule="auto"/>
        <w:ind w:firstLine="426"/>
        <w:jc w:val="right"/>
        <w:rPr>
          <w:rFonts w:eastAsia="Calibri" w:cs="Times New Roman"/>
          <w:i/>
          <w:iCs/>
          <w:kern w:val="0"/>
          <w14:ligatures w14:val="none"/>
        </w:rPr>
      </w:pPr>
      <w:r w:rsidRPr="00E82521">
        <w:rPr>
          <w:rFonts w:eastAsia="Calibri" w:cs="Times New Roman"/>
          <w:i/>
          <w:iCs/>
          <w:kern w:val="0"/>
          <w14:ligatures w14:val="none"/>
        </w:rPr>
        <w:t>Izdoti saskaņā ar Pašvaldību likuma 44. panta otro daļu</w:t>
      </w:r>
    </w:p>
    <w:p w14:paraId="0D6ACB34" w14:textId="77777777" w:rsidR="00E82521" w:rsidRPr="00E82521" w:rsidRDefault="00E82521" w:rsidP="00E8252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E82521">
        <w:rPr>
          <w:rFonts w:eastAsia="Times New Roman" w:cs="Times New Roman"/>
          <w:kern w:val="0"/>
          <w:lang w:eastAsia="lv-LV"/>
          <w14:ligatures w14:val="none"/>
        </w:rPr>
        <w:tab/>
        <w:t>Izdarīt Alūksnes novada pašvaldības domes 2024. gada 28. marta saistošajos noteikumos Nr. 11/2024 “Par interešu izglītības programmu īstenošanu Alūksnes novadā” šādus grozījumus:</w:t>
      </w:r>
    </w:p>
    <w:p w14:paraId="55025245" w14:textId="77777777" w:rsidR="00E82521" w:rsidRPr="00E82521" w:rsidRDefault="00E82521" w:rsidP="00E82521">
      <w:pPr>
        <w:numPr>
          <w:ilvl w:val="0"/>
          <w:numId w:val="1"/>
        </w:numPr>
        <w:spacing w:after="0" w:line="240" w:lineRule="auto"/>
        <w:jc w:val="both"/>
        <w:rPr>
          <w:rFonts w:eastAsia="Calibri" w:cs="Times New Roman"/>
          <w:kern w:val="0"/>
          <w14:ligatures w14:val="none"/>
        </w:rPr>
      </w:pPr>
      <w:r w:rsidRPr="00E82521">
        <w:rPr>
          <w:rFonts w:eastAsia="Calibri" w:cs="Times New Roman"/>
          <w:kern w:val="0"/>
          <w14:ligatures w14:val="none"/>
        </w:rPr>
        <w:t>svītrot noteikumu 6.2.2. apakšpunktu;</w:t>
      </w:r>
    </w:p>
    <w:p w14:paraId="551B0CBD" w14:textId="77777777" w:rsidR="00E82521" w:rsidRPr="00E82521" w:rsidRDefault="00E82521" w:rsidP="00E82521">
      <w:pPr>
        <w:numPr>
          <w:ilvl w:val="0"/>
          <w:numId w:val="1"/>
        </w:numPr>
        <w:spacing w:after="0" w:line="240" w:lineRule="auto"/>
        <w:jc w:val="both"/>
        <w:rPr>
          <w:rFonts w:eastAsia="Calibri" w:cs="Times New Roman"/>
          <w:kern w:val="0"/>
          <w14:ligatures w14:val="none"/>
        </w:rPr>
      </w:pPr>
      <w:r w:rsidRPr="00E82521">
        <w:rPr>
          <w:rFonts w:eastAsia="Calibri" w:cs="Times New Roman"/>
          <w:kern w:val="0"/>
          <w14:ligatures w14:val="none"/>
        </w:rPr>
        <w:t>svītrot noteikumu 22.2. apakšpunktu.</w:t>
      </w:r>
    </w:p>
    <w:p w14:paraId="09C4892D" w14:textId="77777777" w:rsidR="00E82521" w:rsidRPr="00E82521" w:rsidRDefault="00E82521" w:rsidP="00E82521">
      <w:pPr>
        <w:spacing w:after="0" w:line="240" w:lineRule="auto"/>
        <w:jc w:val="both"/>
        <w:rPr>
          <w:rFonts w:eastAsia="Calibri" w:cs="Times New Roman"/>
          <w:kern w:val="0"/>
          <w14:ligatures w14:val="none"/>
        </w:rPr>
      </w:pPr>
    </w:p>
    <w:p w14:paraId="53CF4702" w14:textId="77777777" w:rsidR="00E82521" w:rsidRPr="00E82521" w:rsidRDefault="00E82521" w:rsidP="00E82521">
      <w:pPr>
        <w:spacing w:after="0" w:line="240" w:lineRule="auto"/>
        <w:jc w:val="both"/>
        <w:rPr>
          <w:rFonts w:eastAsia="Calibri" w:cs="Times New Roman"/>
          <w:kern w:val="0"/>
          <w14:ligatures w14:val="none"/>
        </w:rPr>
      </w:pPr>
      <w:r w:rsidRPr="00E82521">
        <w:rPr>
          <w:rFonts w:eastAsia="Calibri" w:cs="Times New Roman"/>
          <w:kern w:val="0"/>
          <w14:ligatures w14:val="none"/>
        </w:rPr>
        <w:tab/>
      </w:r>
    </w:p>
    <w:p w14:paraId="51E3F264" w14:textId="77777777" w:rsidR="00E82521" w:rsidRPr="00E82521" w:rsidRDefault="00E82521" w:rsidP="00E82521">
      <w:pPr>
        <w:spacing w:after="0" w:line="240" w:lineRule="auto"/>
        <w:jc w:val="both"/>
        <w:rPr>
          <w:rFonts w:eastAsia="Calibri" w:cs="Times New Roman"/>
          <w:kern w:val="0"/>
          <w14:ligatures w14:val="none"/>
        </w:rPr>
      </w:pPr>
    </w:p>
    <w:p w14:paraId="30D6B7ED" w14:textId="77777777" w:rsidR="00E82521" w:rsidRPr="00E82521" w:rsidRDefault="00E82521" w:rsidP="00E82521">
      <w:pPr>
        <w:shd w:val="clear" w:color="auto" w:fill="FFFFFF"/>
        <w:spacing w:after="0" w:line="240" w:lineRule="auto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E82521">
        <w:rPr>
          <w:rFonts w:eastAsia="Times New Roman" w:cs="Times New Roman"/>
          <w:kern w:val="0"/>
          <w:lang w:eastAsia="lv-LV"/>
          <w14:ligatures w14:val="none"/>
        </w:rPr>
        <w:t>Domes priekšsēdētājs</w:t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  <w:t>Dz. ADLERS</w:t>
      </w:r>
    </w:p>
    <w:p w14:paraId="385AD185" w14:textId="77777777" w:rsidR="00E82521" w:rsidRPr="00E82521" w:rsidRDefault="00E82521" w:rsidP="00E82521">
      <w:pPr>
        <w:spacing w:after="0" w:line="240" w:lineRule="auto"/>
        <w:jc w:val="both"/>
        <w:rPr>
          <w:rFonts w:eastAsia="Calibri" w:cs="Times New Roman"/>
          <w:kern w:val="0"/>
          <w14:ligatures w14:val="none"/>
        </w:rPr>
      </w:pPr>
    </w:p>
    <w:p w14:paraId="0F24ADAA" w14:textId="77777777" w:rsidR="00E82521" w:rsidRPr="00E82521" w:rsidRDefault="00E82521" w:rsidP="00E82521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lv-LV"/>
          <w14:ligatures w14:val="none"/>
        </w:rPr>
      </w:pPr>
    </w:p>
    <w:p w14:paraId="0D271E24" w14:textId="77777777" w:rsidR="00E82521" w:rsidRPr="00E82521" w:rsidRDefault="00E82521" w:rsidP="00E82521">
      <w:pPr>
        <w:spacing w:after="0" w:line="240" w:lineRule="auto"/>
        <w:jc w:val="both"/>
        <w:rPr>
          <w:rFonts w:eastAsia="Calibri" w:cs="Times New Roman"/>
          <w:kern w:val="0"/>
          <w14:ligatures w14:val="none"/>
        </w:rPr>
      </w:pPr>
    </w:p>
    <w:p w14:paraId="30BBF437" w14:textId="77777777" w:rsidR="00E82521" w:rsidRPr="00E82521" w:rsidRDefault="00E82521" w:rsidP="00E82521">
      <w:pPr>
        <w:spacing w:after="0" w:line="240" w:lineRule="auto"/>
        <w:jc w:val="both"/>
        <w:rPr>
          <w:rFonts w:eastAsia="Calibri" w:cs="Times New Roman"/>
          <w:kern w:val="0"/>
          <w14:ligatures w14:val="none"/>
        </w:rPr>
      </w:pPr>
    </w:p>
    <w:p w14:paraId="3594B11B" w14:textId="77777777" w:rsidR="00E82521" w:rsidRPr="00E82521" w:rsidRDefault="00E82521" w:rsidP="00E82521">
      <w:pPr>
        <w:spacing w:line="256" w:lineRule="auto"/>
        <w:rPr>
          <w:rFonts w:ascii="Calibri" w:eastAsia="Calibri" w:hAnsi="Calibri" w:cs="DokChampa"/>
          <w:kern w:val="0"/>
          <w:sz w:val="22"/>
          <w:szCs w:val="22"/>
          <w14:ligatures w14:val="none"/>
        </w:rPr>
      </w:pPr>
    </w:p>
    <w:p w14:paraId="245B2B75" w14:textId="77777777" w:rsidR="00E82521" w:rsidRPr="00E82521" w:rsidRDefault="00E82521" w:rsidP="00E82521">
      <w:pPr>
        <w:spacing w:line="256" w:lineRule="auto"/>
        <w:rPr>
          <w:rFonts w:ascii="Calibri" w:eastAsia="Calibri" w:hAnsi="Calibri" w:cs="DokChampa"/>
          <w:kern w:val="0"/>
          <w:sz w:val="22"/>
          <w:szCs w:val="22"/>
          <w14:ligatures w14:val="none"/>
        </w:rPr>
      </w:pPr>
    </w:p>
    <w:p w14:paraId="589EE864" w14:textId="77777777" w:rsidR="00E82521" w:rsidRPr="00E82521" w:rsidRDefault="00E82521" w:rsidP="00E82521">
      <w:pPr>
        <w:spacing w:line="256" w:lineRule="auto"/>
        <w:rPr>
          <w:rFonts w:ascii="Calibri" w:eastAsia="Calibri" w:hAnsi="Calibri" w:cs="DokChampa"/>
          <w:kern w:val="0"/>
          <w:sz w:val="22"/>
          <w:szCs w:val="22"/>
          <w14:ligatures w14:val="none"/>
        </w:rPr>
      </w:pPr>
    </w:p>
    <w:p w14:paraId="634629B4" w14:textId="77777777" w:rsidR="00E82521" w:rsidRPr="00E82521" w:rsidRDefault="00E82521" w:rsidP="00E82521">
      <w:pPr>
        <w:spacing w:line="256" w:lineRule="auto"/>
        <w:rPr>
          <w:rFonts w:ascii="Calibri" w:eastAsia="Calibri" w:hAnsi="Calibri" w:cs="DokChampa"/>
          <w:kern w:val="0"/>
          <w:sz w:val="22"/>
          <w:szCs w:val="22"/>
          <w14:ligatures w14:val="none"/>
        </w:rPr>
      </w:pPr>
    </w:p>
    <w:p w14:paraId="15BAD561" w14:textId="77777777" w:rsidR="00E82521" w:rsidRPr="00E82521" w:rsidRDefault="00E82521" w:rsidP="00E82521">
      <w:pPr>
        <w:spacing w:line="256" w:lineRule="auto"/>
        <w:rPr>
          <w:rFonts w:ascii="Calibri" w:eastAsia="Calibri" w:hAnsi="Calibri" w:cs="DokChampa"/>
          <w:kern w:val="0"/>
          <w:sz w:val="22"/>
          <w:szCs w:val="22"/>
          <w14:ligatures w14:val="none"/>
        </w:rPr>
      </w:pPr>
    </w:p>
    <w:p w14:paraId="3B98AECC" w14:textId="77777777" w:rsidR="00E82521" w:rsidRPr="00E82521" w:rsidRDefault="00E82521" w:rsidP="00E82521">
      <w:pPr>
        <w:spacing w:line="256" w:lineRule="auto"/>
        <w:rPr>
          <w:rFonts w:ascii="Calibri" w:eastAsia="Calibri" w:hAnsi="Calibri" w:cs="DokChampa"/>
          <w:kern w:val="0"/>
          <w:sz w:val="22"/>
          <w:szCs w:val="22"/>
          <w14:ligatures w14:val="none"/>
        </w:rPr>
      </w:pPr>
    </w:p>
    <w:p w14:paraId="67A75207" w14:textId="77777777" w:rsidR="00E82521" w:rsidRDefault="00E82521" w:rsidP="00E82521">
      <w:pPr>
        <w:spacing w:after="0" w:line="240" w:lineRule="auto"/>
        <w:rPr>
          <w:rFonts w:ascii="Calibri" w:eastAsia="Calibri" w:hAnsi="Calibri" w:cs="DokChampa"/>
          <w:kern w:val="0"/>
          <w:sz w:val="22"/>
          <w:szCs w:val="22"/>
          <w14:ligatures w14:val="none"/>
        </w:rPr>
      </w:pPr>
    </w:p>
    <w:p w14:paraId="38BDD40F" w14:textId="4613260B" w:rsidR="00E82521" w:rsidRPr="00E82521" w:rsidRDefault="00E82521" w:rsidP="00E82521">
      <w:pPr>
        <w:spacing w:after="0" w:line="240" w:lineRule="auto"/>
        <w:jc w:val="center"/>
        <w:rPr>
          <w:rFonts w:eastAsia="Calibri" w:cs="Times New Roman"/>
          <w:b/>
          <w:bCs/>
          <w:kern w:val="0"/>
          <w14:ligatures w14:val="none"/>
        </w:rPr>
      </w:pPr>
      <w:r w:rsidRPr="00E82521">
        <w:rPr>
          <w:rFonts w:eastAsia="Calibri" w:cs="Times New Roman"/>
          <w:b/>
          <w:bCs/>
          <w:kern w:val="0"/>
          <w14:ligatures w14:val="none"/>
        </w:rPr>
        <w:lastRenderedPageBreak/>
        <w:t>Alūksnes novada pašvaldības domes Nr. __/2026 saistošo noteikumu “Grozījumi Alūksnes novada pašvaldības domes 2024. gada 28. marta saistošajos noteikumos Nr. 11/2024 “Par interešu izglītības programmu īstenošanu Alūksnes novadā”” paskaidrojuma raksts</w:t>
      </w:r>
    </w:p>
    <w:p w14:paraId="657D066F" w14:textId="77777777" w:rsidR="00E82521" w:rsidRPr="00E82521" w:rsidRDefault="00E82521" w:rsidP="00E82521">
      <w:pPr>
        <w:spacing w:after="0" w:line="240" w:lineRule="auto"/>
        <w:jc w:val="center"/>
        <w:rPr>
          <w:rFonts w:eastAsia="Calibri" w:cs="Times New Roman"/>
          <w:b/>
          <w:bCs/>
          <w:kern w:val="0"/>
          <w14:ligatures w14:val="none"/>
        </w:rPr>
      </w:pP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3"/>
        <w:gridCol w:w="5256"/>
      </w:tblGrid>
      <w:tr w:rsidR="00E82521" w:rsidRPr="00E82521" w14:paraId="3E931034" w14:textId="77777777" w:rsidTr="00FB0018"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6CB901" w14:textId="77777777" w:rsidR="00E82521" w:rsidRPr="00E82521" w:rsidRDefault="00E82521" w:rsidP="00E82521">
            <w:pPr>
              <w:spacing w:after="0" w:line="360" w:lineRule="atLeast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Paskaidrojuma raksta sadaļa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020553" w14:textId="77777777" w:rsidR="00E82521" w:rsidRPr="00E82521" w:rsidRDefault="00E82521" w:rsidP="00E82521">
            <w:pPr>
              <w:spacing w:after="0" w:line="360" w:lineRule="atLeast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Norādāmā informācija</w:t>
            </w:r>
          </w:p>
        </w:tc>
      </w:tr>
      <w:tr w:rsidR="00E82521" w:rsidRPr="00E82521" w14:paraId="55848164" w14:textId="77777777" w:rsidTr="00FB0018">
        <w:trPr>
          <w:trHeight w:val="8485"/>
        </w:trPr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E16692" w14:textId="77777777" w:rsidR="00E82521" w:rsidRPr="00E82521" w:rsidRDefault="00E82521" w:rsidP="00E82521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1. Mērķis un nepieciešamības pamatojums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28B40D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Saistošo noteikumu mērķis ir aktualizēt Alūksnes novada pašvaldības domes 2024. gada 28. marta saistošajos noteikumos Nr. 11/2024 “Par interešu izglītības programmu īstenošanu Alūksnes novadā” noteikto pašvaldības finansējuma kārtību, svītrojot no interešu izglītības programmu finansējuma regulējuma Alūksnes Mūzikas skolas īstenoto pūtēju orķestra un defilē programmu.</w:t>
            </w:r>
          </w:p>
          <w:p w14:paraId="4890155D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Spēkā esošo saistošo noteikumu 6.2.2. apakšpunktā ir noteikts finansējums Alūksnes Mūzikas skolas īstenotajai pūtēju orķestra programmai līdz 30 mācību stundām nedēļā un defilē programmai līdz 15 mācību stundām nedēļā. </w:t>
            </w:r>
          </w:p>
          <w:p w14:paraId="5A9064EE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Ņemot vērā pašvaldības lēmumu mainīt minētās darbības organizatorisko formu, pūtēju orķestra darbība turpmāk tiks nodrošināta </w:t>
            </w:r>
            <w:r w:rsidRPr="00E82521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Alūksnes novada Kultūras centra sastāvā</w:t>
            </w: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, nevis Alūksnes Mūzikas skolā kā interešu izglītības programma.</w:t>
            </w:r>
          </w:p>
          <w:p w14:paraId="707CD79F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Līdz ar to pūtēju orķestra darbība vairs neatbilst saistošo noteikumu Nr. 11/2024 regulējamajam priekšmetam – interešu izglītības programmu īstenošanai Alūksnes novadā. Tādēļ nepieciešams svītrot saistošo noteikumu 6.2.2. apakšpunktu, kā arī 22.2. apakšpunktu.</w:t>
            </w:r>
          </w:p>
          <w:p w14:paraId="0068F4D0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Saistošo noteikumu izdošanas nepieciešamība izriet no faktiskās izmaiņas interešu izglītības programmas īstenošanā un tās organizatoriskajā piederībā.</w:t>
            </w:r>
          </w:p>
        </w:tc>
      </w:tr>
      <w:tr w:rsidR="00E82521" w:rsidRPr="00E82521" w14:paraId="34830441" w14:textId="77777777" w:rsidTr="00FB0018"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64AB26" w14:textId="77777777" w:rsidR="00E82521" w:rsidRPr="00E82521" w:rsidRDefault="00E82521" w:rsidP="00E82521">
            <w:pPr>
              <w:spacing w:after="0" w:line="240" w:lineRule="auto"/>
              <w:rPr>
                <w:rFonts w:eastAsia="Times New Roman" w:cs="Times New Roman"/>
                <w:color w:val="333333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color w:val="333333"/>
                <w:kern w:val="0"/>
                <w:szCs w:val="28"/>
                <w:lang w:eastAsia="lv-LV"/>
                <w14:ligatures w14:val="none"/>
              </w:rPr>
              <w:t>2. Fiskālā ietekme uz pašvaldības budžetu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06C684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Saistošajiem noteikumiem ir ietekme uz Alūksnes novada pašvaldības budžetu, jo pēc to spēkā stāšanās pašvaldības finansējums saskaņā ar saistošo noteikumu Nr. 11/2024 6.2. apakšpunktu vairs netiks paredzēts Alūksnes Mūzikas skolas īstenotajai pūtēju orķestra un defilē interešu izglītības programmai.</w:t>
            </w:r>
          </w:p>
          <w:p w14:paraId="3AFA9D81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Plānotais finansējums minētās darbības nodrošināšanai turpmāk jāparedz un jāuzskaita Alūksnes novada Kultūras centram. </w:t>
            </w:r>
          </w:p>
          <w:p w14:paraId="3B7938C0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Saistošie noteikumi nerada jaunas pašvaldības budžeta saistības. Finansējuma pārdale vai nepieciešamība pēc </w:t>
            </w: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lastRenderedPageBreak/>
              <w:t>finansējuma Alūksnes novada Kultūras centra darbības nodrošināšanai risināma pašvaldības budžeta plānošanas un izpildes ietvaros.</w:t>
            </w:r>
          </w:p>
        </w:tc>
      </w:tr>
      <w:tr w:rsidR="00E82521" w:rsidRPr="00E82521" w14:paraId="1CACC9C1" w14:textId="77777777" w:rsidTr="00FB0018"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46F7AC" w14:textId="77777777" w:rsidR="00E82521" w:rsidRPr="00E82521" w:rsidRDefault="00E82521" w:rsidP="00E82521">
            <w:pPr>
              <w:spacing w:after="0" w:line="240" w:lineRule="auto"/>
              <w:rPr>
                <w:rFonts w:eastAsia="Times New Roman" w:cs="Times New Roman"/>
                <w:color w:val="333333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color w:val="333333"/>
                <w:kern w:val="0"/>
                <w:szCs w:val="28"/>
                <w:lang w:eastAsia="lv-LV"/>
                <w14:ligatures w14:val="none"/>
              </w:rPr>
              <w:lastRenderedPageBreak/>
              <w:t>3. Sociālā ietekme uz vidi, iedzīvotāju veselību, uzņēmējdarbības vidi pašvaldības teritorijā, kā arī plānotā regulējuma ietekme uz konkurenci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9854F5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Saistošajiem noteikumiem nav būtiskas negatīvas sociālās ietekmes, jo saistošie noteikumi neparedz pūtēju orķestra darbības izbeigšanu.</w:t>
            </w:r>
          </w:p>
          <w:p w14:paraId="00FFFBD2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Paredzēts mainīt tikai tā darbības organizatorisko formu – no Alūksnes Mūzikas skolas īstenotas interešu izglītības programmas uz darbību Alūksnes novada Kultūras centra sastāvā.</w:t>
            </w:r>
          </w:p>
          <w:p w14:paraId="776C5F55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Tādējādi tiek saglabāta iespēja nodrošināt pūtēju orķestra darbību un kultūras aktivitātes Alūksnes novadā, vienlaikus nošķirot interešu izglītības funkciju no kultūras amatiermākslas kolektīva darbības.</w:t>
            </w:r>
          </w:p>
          <w:p w14:paraId="13923AFE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Saistošajiem noteikumiem  nav tiešas ietekmes uz vidi vai iedzīvotāju veselību.</w:t>
            </w:r>
          </w:p>
          <w:p w14:paraId="6BEDCBB5" w14:textId="77777777" w:rsidR="00E82521" w:rsidRPr="00E82521" w:rsidRDefault="00E82521" w:rsidP="00E82521">
            <w:pPr>
              <w:spacing w:after="0" w:line="240" w:lineRule="auto"/>
              <w:jc w:val="both"/>
              <w:rPr>
                <w:rFonts w:eastAsia="Times New Roman" w:cs="Times New Roman"/>
                <w:color w:val="333333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Saistošie noteikumi nerada ietekmi uz uzņēmējdarbības vidi un konkurenci, jo regulējums attiecas uz pašvaldības nodrošinātu interešu izglītības programmu finansēšanas kārtību un neierobežo privāto personu vai komersantu darbību.</w:t>
            </w:r>
          </w:p>
        </w:tc>
      </w:tr>
      <w:tr w:rsidR="00E82521" w:rsidRPr="00E82521" w14:paraId="6F347275" w14:textId="77777777" w:rsidTr="00FB0018"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C4B347" w14:textId="77777777" w:rsidR="00E82521" w:rsidRPr="00E82521" w:rsidRDefault="00E82521" w:rsidP="00E82521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4. Ietekme uz administratīvajām procedūrām un to izmaksām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1E6D2E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Saistošie noteikumi nerada jaunas administratīvās procedūras fiziskajām vai juridiskajām personām.</w:t>
            </w:r>
          </w:p>
          <w:p w14:paraId="0E4F5501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Pēc saistošo noteikumu spēkā stāšanās Alūksnes Mūzikas skolai vairs nebūs nepieciešams plānot un administrēt pūtēju orķestri kā interešu izglītības programmu atbilstoši saistošo noteikumu Nr. 11/2024 prasībām.</w:t>
            </w:r>
          </w:p>
          <w:p w14:paraId="147CD24B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Ar pūtēju orķestra turpmāko darbību saistītie administratīvie jautājumi tiks kārtoti Alūksnes novada Kultūras centra darbības ietvaros.</w:t>
            </w:r>
          </w:p>
          <w:p w14:paraId="139C534D" w14:textId="77777777" w:rsidR="00E82521" w:rsidRPr="00E82521" w:rsidRDefault="00E82521" w:rsidP="00E8252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Saistošo noteikumu īstenošana neietekmē administratīvo procedūru izmaksas.</w:t>
            </w:r>
          </w:p>
        </w:tc>
      </w:tr>
      <w:tr w:rsidR="00E82521" w:rsidRPr="00E82521" w14:paraId="5C167BBA" w14:textId="77777777" w:rsidTr="00FB0018"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17E944" w14:textId="77777777" w:rsidR="00E82521" w:rsidRPr="00E82521" w:rsidRDefault="00E82521" w:rsidP="00E82521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5. Ietekme uz pašvaldības funkcijām un cilvēkresursiem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5CABCD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Saistošie noteikumi nemaina pašvaldības funkciju nodrošināšanas nepieciešamību kultūras un izglītības jomā, bet precizē institūciju lomu šo funkciju īstenošanā.</w:t>
            </w:r>
          </w:p>
          <w:p w14:paraId="08377FA3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Alūksnes Mūzikas skola turpmāk neīstenos pūtēju orķestra darbību kā interešu izglītības programmu.</w:t>
            </w:r>
          </w:p>
          <w:p w14:paraId="5428517A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lastRenderedPageBreak/>
              <w:t>Pūtēju orķestra darbība tiks nodrošināta Alūksnes novada Kultūras centra sastāvā.</w:t>
            </w:r>
          </w:p>
          <w:p w14:paraId="29CA972E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Saistošo noteikumu īstenošanai nav nepieciešams veidot jaunas pašvaldības institūcijas. </w:t>
            </w:r>
          </w:p>
        </w:tc>
      </w:tr>
      <w:tr w:rsidR="00E82521" w:rsidRPr="00E82521" w14:paraId="4EC8D98A" w14:textId="77777777" w:rsidTr="00FB0018"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957B5D" w14:textId="77777777" w:rsidR="00E82521" w:rsidRPr="00E82521" w:rsidRDefault="00E82521" w:rsidP="00E82521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lastRenderedPageBreak/>
              <w:t>6. Informācija par izpildes nodrošināšanu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AA9519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Saistošo noteikumu izpildi nodrošinās Alūksnes novada pašvaldība, Alūksnes Mūzikas skola un Alūksnes novada Kultūras centrs atbilstoši to kompetencei.</w:t>
            </w:r>
          </w:p>
          <w:p w14:paraId="5526B2A7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Pēc saistošo noteikumu spēkā stāšanās Alūksnes Mūzikas skola pārtrauc pūtēju orķestra un defilē darbības uzskaiti un finansēšanu kā interešu izglītības programmu atbilstoši saistošo noteikumu Nr. 11/2024 6.2.2. apakšpunktam.</w:t>
            </w:r>
          </w:p>
          <w:p w14:paraId="48A090F3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Pūtēju orķestra darbības turpmākā organizēšana un finansēšana tiek nodrošināta Alūksnes novada Kultūras centra darbības ietvaros.</w:t>
            </w:r>
          </w:p>
          <w:p w14:paraId="52E5A3C7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Saistošo noteikumu izpildei nav nepieciešama jaunu institūciju izveide.</w:t>
            </w:r>
          </w:p>
        </w:tc>
      </w:tr>
      <w:tr w:rsidR="00E82521" w:rsidRPr="00E82521" w14:paraId="2449A2AB" w14:textId="77777777" w:rsidTr="00FB0018"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4E7195" w14:textId="77777777" w:rsidR="00E82521" w:rsidRPr="00E82521" w:rsidRDefault="00E82521" w:rsidP="00E82521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7. Prasību un izmaksu samērīgums pret ieguvumiem, ko sniedz mērķa sasniegšana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680A90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Saistošajos noteikumos paredzētie grozījumi ir samērīgi ar to mērķi.</w:t>
            </w:r>
          </w:p>
          <w:p w14:paraId="786A214F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Grozījumi nepieciešami, lai saistošo noteikumu regulējums atbilstu faktiskajai situācijai un pašvaldības izvēlētajai pūtēju orķestra darbības organizēšanas kārtībai.</w:t>
            </w:r>
          </w:p>
          <w:p w14:paraId="1A8CBC3A" w14:textId="77777777" w:rsidR="00E82521" w:rsidRPr="00E82521" w:rsidRDefault="00E82521" w:rsidP="00E82521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Saistošajos noteikumos paredzēts tikai tāds regulējums, kas nepieciešams, lai no interešu izglītības programmu finansējuma regulējuma izslēgtu programmu, kuru Alūksnes Mūzikas skola turpmāk vairs neīstenos.</w:t>
            </w:r>
          </w:p>
          <w:p w14:paraId="241DBF89" w14:textId="77777777" w:rsidR="00E82521" w:rsidRPr="00E82521" w:rsidRDefault="00E82521" w:rsidP="00E8252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Ieguvums ir skaidrs institucionālo funkciju un pašvaldības finansējuma nošķīrums starp interešu izglītības jomu un kultūras jomu, kā arī aktuālajai situācijai atbilstošs pašvaldības saistošo noteikumu regulējums.</w:t>
            </w:r>
          </w:p>
        </w:tc>
      </w:tr>
      <w:tr w:rsidR="00E82521" w:rsidRPr="00E82521" w14:paraId="33C206CB" w14:textId="77777777" w:rsidTr="00FB0018">
        <w:trPr>
          <w:trHeight w:val="1166"/>
        </w:trPr>
        <w:tc>
          <w:tcPr>
            <w:tcW w:w="1958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F240EE" w14:textId="77777777" w:rsidR="00E82521" w:rsidRPr="00E82521" w:rsidRDefault="00E82521" w:rsidP="00E82521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8. Izstrādes gaitā veiktās konsultācijas ar privātpersonām un institūcijām</w:t>
            </w:r>
          </w:p>
        </w:tc>
        <w:tc>
          <w:tcPr>
            <w:tcW w:w="3042" w:type="pct"/>
            <w:tcBorders>
              <w:top w:val="single" w:sz="6" w:space="0" w:color="817F7F"/>
              <w:left w:val="single" w:sz="6" w:space="0" w:color="817F7F"/>
              <w:bottom w:val="single" w:sz="6" w:space="0" w:color="817F7F"/>
              <w:right w:val="single" w:sz="6" w:space="0" w:color="817F7F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B1B6E3" w14:textId="0AC0B8BC" w:rsidR="00E82521" w:rsidRPr="00E82521" w:rsidRDefault="00E82521" w:rsidP="00E8252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Atbilstoši Pašvaldību likuma 46. panta trešajai daļai, saistošo noteikumu projekts un paskaidrojuma raksts sabiedrības viedokļa noskaidrošanai no 2026. gada </w:t>
            </w:r>
            <w:r w:rsidR="00EE1486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9. septembra </w:t>
            </w: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līdz 2026. gada </w:t>
            </w:r>
            <w:r w:rsidR="00EE1486">
              <w:rPr>
                <w:rFonts w:eastAsia="Times New Roman" w:cs="Times New Roman"/>
                <w:kern w:val="0"/>
                <w:lang w:eastAsia="lv-LV"/>
                <w14:ligatures w14:val="none"/>
              </w:rPr>
              <w:t>23. septembrim</w:t>
            </w: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 publicēts Pašvaldības tīmekļvietnē www.aluksne.lv sadaļā </w:t>
            </w:r>
            <w:r w:rsidRPr="00E82521">
              <w:rPr>
                <w:rFonts w:eastAsia="Times New Roman" w:cs="Times New Roman"/>
                <w:i/>
                <w:iCs/>
                <w:kern w:val="0"/>
                <w:lang w:eastAsia="lv-LV"/>
                <w14:ligatures w14:val="none"/>
              </w:rPr>
              <w:t>Sabiedrība/Sabiedrības līdzdalība/Viedokļa izteikšana par saistošo noteikumu projektiem</w:t>
            </w:r>
            <w:r w:rsidRPr="00E82521">
              <w:rPr>
                <w:rFonts w:eastAsia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</w:tr>
    </w:tbl>
    <w:p w14:paraId="358B7BE7" w14:textId="77777777" w:rsidR="00E82521" w:rsidRPr="00E82521" w:rsidRDefault="00E82521" w:rsidP="00E82521">
      <w:pPr>
        <w:shd w:val="clear" w:color="auto" w:fill="FFFFFF"/>
        <w:spacing w:after="0" w:line="240" w:lineRule="auto"/>
        <w:jc w:val="both"/>
        <w:rPr>
          <w:rFonts w:eastAsia="Times New Roman" w:cs="Times New Roman"/>
          <w:kern w:val="0"/>
          <w:lang w:eastAsia="lv-LV"/>
          <w14:ligatures w14:val="none"/>
        </w:rPr>
      </w:pPr>
    </w:p>
    <w:p w14:paraId="431D24CF" w14:textId="77777777" w:rsidR="00E82521" w:rsidRPr="00E82521" w:rsidRDefault="00E82521" w:rsidP="00E82521">
      <w:pPr>
        <w:shd w:val="clear" w:color="auto" w:fill="FFFFFF"/>
        <w:spacing w:after="0" w:line="240" w:lineRule="auto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E82521">
        <w:rPr>
          <w:rFonts w:eastAsia="Times New Roman" w:cs="Times New Roman"/>
          <w:kern w:val="0"/>
          <w:lang w:eastAsia="lv-LV"/>
          <w14:ligatures w14:val="none"/>
        </w:rPr>
        <w:t>Domes priekšsēdētājs</w:t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</w:r>
      <w:r w:rsidRPr="00E82521">
        <w:rPr>
          <w:rFonts w:eastAsia="Times New Roman" w:cs="Times New Roman"/>
          <w:kern w:val="0"/>
          <w:lang w:eastAsia="lv-LV"/>
          <w14:ligatures w14:val="none"/>
        </w:rPr>
        <w:tab/>
        <w:t>Dz. ADLERS</w:t>
      </w:r>
      <w:bookmarkEnd w:id="0"/>
    </w:p>
    <w:sectPr w:rsidR="00E82521" w:rsidRPr="00E82521" w:rsidSect="00E82521">
      <w:pgSz w:w="11906" w:h="16838"/>
      <w:pgMar w:top="1276" w:right="1416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52C7C"/>
    <w:multiLevelType w:val="hybridMultilevel"/>
    <w:tmpl w:val="58A2BA6E"/>
    <w:lvl w:ilvl="0" w:tplc="FB7EA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168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49"/>
    <w:rsid w:val="004B0673"/>
    <w:rsid w:val="006837B5"/>
    <w:rsid w:val="00AB3D32"/>
    <w:rsid w:val="00E82521"/>
    <w:rsid w:val="00EE1486"/>
    <w:rsid w:val="00EF0349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1BCC"/>
  <w15:chartTrackingRefBased/>
  <w15:docId w15:val="{A4DB6ECF-7359-4259-A32B-F06894DD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F0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F0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F03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F03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F03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F03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F03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F03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F03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F0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F0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F034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F034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F034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F03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F03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F03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F034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F0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F0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F03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F03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F0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F034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F034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F034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F0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F034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F03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4571</Words>
  <Characters>2606</Characters>
  <Application>Microsoft Office Word</Application>
  <DocSecurity>0</DocSecurity>
  <Lines>21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4</cp:revision>
  <dcterms:created xsi:type="dcterms:W3CDTF">2026-09-15T07:16:00Z</dcterms:created>
  <dcterms:modified xsi:type="dcterms:W3CDTF">2026-09-18T10:27:00Z</dcterms:modified>
</cp:coreProperties>
</file>