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F0E3" w14:textId="77777777" w:rsidR="002C3918" w:rsidRPr="007450B9" w:rsidRDefault="002C3918" w:rsidP="002C3918">
      <w:pPr>
        <w:tabs>
          <w:tab w:val="left" w:pos="0"/>
        </w:tabs>
        <w:jc w:val="right"/>
        <w:rPr>
          <w:rFonts w:ascii="Times New Roman" w:hAnsi="Times New Roman"/>
          <w:i/>
          <w:sz w:val="24"/>
          <w:szCs w:val="24"/>
        </w:rPr>
      </w:pPr>
      <w:r w:rsidRPr="007450B9">
        <w:rPr>
          <w:rFonts w:ascii="Times New Roman" w:hAnsi="Times New Roman"/>
          <w:i/>
          <w:sz w:val="24"/>
          <w:szCs w:val="24"/>
        </w:rPr>
        <w:t>Lēmuma projekts</w:t>
      </w:r>
    </w:p>
    <w:p w14:paraId="5569DDD3" w14:textId="77777777" w:rsidR="002C3918" w:rsidRPr="0017460D" w:rsidRDefault="002C3918" w:rsidP="002C3918">
      <w:pPr>
        <w:tabs>
          <w:tab w:val="left" w:pos="0"/>
        </w:tabs>
        <w:jc w:val="right"/>
        <w:rPr>
          <w:rFonts w:ascii="Times New Roman" w:hAnsi="Times New Roman"/>
          <w:b/>
          <w:sz w:val="24"/>
          <w:szCs w:val="24"/>
        </w:rPr>
      </w:pPr>
    </w:p>
    <w:p w14:paraId="596FCBAF" w14:textId="77777777" w:rsidR="002C3918" w:rsidRPr="00DF7A04" w:rsidRDefault="002C3918" w:rsidP="002C3918">
      <w:pPr>
        <w:jc w:val="center"/>
        <w:rPr>
          <w:rFonts w:ascii="Times New Roman" w:eastAsia="Calibri" w:hAnsi="Times New Roman"/>
          <w:b/>
          <w:sz w:val="24"/>
          <w:szCs w:val="22"/>
        </w:rPr>
      </w:pPr>
      <w:r w:rsidRPr="00DF7A04">
        <w:rPr>
          <w:rFonts w:ascii="Times New Roman" w:eastAsia="Calibri" w:hAnsi="Times New Roman"/>
          <w:b/>
          <w:sz w:val="24"/>
          <w:szCs w:val="22"/>
        </w:rPr>
        <w:t>Par SIA “Alūksnes slimnīca” 202</w:t>
      </w:r>
      <w:r>
        <w:rPr>
          <w:rFonts w:ascii="Times New Roman" w:eastAsia="Calibri" w:hAnsi="Times New Roman"/>
          <w:b/>
          <w:sz w:val="24"/>
          <w:szCs w:val="22"/>
        </w:rPr>
        <w:t>5</w:t>
      </w:r>
      <w:r w:rsidRPr="00DF7A04">
        <w:rPr>
          <w:rFonts w:ascii="Times New Roman" w:eastAsia="Calibri" w:hAnsi="Times New Roman"/>
          <w:b/>
          <w:sz w:val="24"/>
          <w:szCs w:val="22"/>
        </w:rPr>
        <w:t>. gada peļņu</w:t>
      </w:r>
    </w:p>
    <w:p w14:paraId="30E5D5DC" w14:textId="77777777" w:rsidR="002C3918" w:rsidRPr="00DF7A04" w:rsidRDefault="002C3918" w:rsidP="002C3918">
      <w:pPr>
        <w:jc w:val="both"/>
        <w:rPr>
          <w:rFonts w:ascii="Times New Roman" w:eastAsia="Calibri" w:hAnsi="Times New Roman"/>
          <w:b/>
          <w:sz w:val="24"/>
          <w:szCs w:val="22"/>
        </w:rPr>
      </w:pPr>
    </w:p>
    <w:p w14:paraId="7C4A383A" w14:textId="77777777" w:rsidR="002C3918" w:rsidRPr="007450B9" w:rsidRDefault="002C3918" w:rsidP="002C3918">
      <w:pPr>
        <w:ind w:firstLine="720"/>
        <w:jc w:val="both"/>
        <w:rPr>
          <w:rFonts w:ascii="Times New Roman" w:eastAsia="Calibri" w:hAnsi="Times New Roman"/>
          <w:sz w:val="24"/>
          <w:szCs w:val="24"/>
        </w:rPr>
      </w:pPr>
      <w:r w:rsidRPr="007450B9">
        <w:rPr>
          <w:rFonts w:ascii="Times New Roman" w:eastAsia="Calibri" w:hAnsi="Times New Roman"/>
          <w:sz w:val="24"/>
          <w:szCs w:val="24"/>
        </w:rPr>
        <w:t>Alūksnes novada pašvaldībā 18.05.2026. saņemta un reģistrēta ar Nr. ANP/1.40/26/1720 SIA “Alūksnes slimnīca”, turpmāk – Sabiedrība, 15.05.2026. vēstule Nr. 1-6/109 ar lūgumu 2025. gada peļņu 125 716 EUR apmērā atstāt Sabiedrības attīstībai, kvalitatīvu veselības aprūpes pakalpojumu nodrošināšanai, kā arī plānoto nefinanšu mērķu sasniegšanai, novirzot to datortomogrāfijas iekārtas iegādei.</w:t>
      </w:r>
    </w:p>
    <w:p w14:paraId="465C0B12" w14:textId="77777777" w:rsidR="002C3918" w:rsidRPr="007450B9" w:rsidRDefault="002C3918" w:rsidP="002C3918">
      <w:pPr>
        <w:ind w:firstLine="720"/>
        <w:jc w:val="both"/>
        <w:rPr>
          <w:rFonts w:ascii="Times New Roman" w:hAnsi="Times New Roman"/>
          <w:sz w:val="24"/>
          <w:szCs w:val="24"/>
        </w:rPr>
      </w:pPr>
      <w:r w:rsidRPr="007450B9">
        <w:rPr>
          <w:rFonts w:ascii="Times New Roman" w:eastAsia="Calibri" w:hAnsi="Times New Roman"/>
          <w:sz w:val="24"/>
          <w:szCs w:val="24"/>
        </w:rPr>
        <w:t xml:space="preserve">Ar Alūksnes novada </w:t>
      </w:r>
      <w:r w:rsidRPr="007450B9">
        <w:rPr>
          <w:rFonts w:ascii="Times New Roman" w:hAnsi="Times New Roman"/>
          <w:sz w:val="24"/>
          <w:szCs w:val="24"/>
        </w:rPr>
        <w:t xml:space="preserve">pašvaldības domes 2024. gada 27. jūnija lēmumu Nr. 198 apstiprināto noteikumu Nr. 4/2024 “Par Alūksnes novada pašvaldības kapitāla daļu pārvaldību”, turpmāk – </w:t>
      </w:r>
      <w:r w:rsidRPr="007450B9">
        <w:rPr>
          <w:rFonts w:ascii="Times New Roman" w:hAnsi="Times New Roman"/>
          <w:bCs/>
          <w:sz w:val="24"/>
          <w:szCs w:val="24"/>
        </w:rPr>
        <w:t>Noteikumi</w:t>
      </w:r>
      <w:r w:rsidRPr="007450B9">
        <w:rPr>
          <w:rFonts w:ascii="Times New Roman" w:hAnsi="Times New Roman"/>
          <w:sz w:val="24"/>
          <w:szCs w:val="24"/>
        </w:rPr>
        <w:t>, 52.2. apakšpunkts noteic, ka pašvaldības dome var noteikt atšķirīgu dividendēs izmaksājamo peļņas daļu par attiecīgo pārskata gadu, ja dividenžu izmaksa apdraud kapitālsabiedrības attīstību, stratēģijā noteikto mērķu sasniegšanu (saimnieciskās darbības nodrošināšanu, ilgtspējīgu attīstību un konkurētspējas saglabāšanu).</w:t>
      </w:r>
    </w:p>
    <w:p w14:paraId="54219112" w14:textId="77777777" w:rsidR="002C3918" w:rsidRPr="007450B9" w:rsidRDefault="002C3918" w:rsidP="002C3918">
      <w:pPr>
        <w:ind w:firstLine="720"/>
        <w:jc w:val="both"/>
        <w:rPr>
          <w:rFonts w:ascii="Times New Roman" w:hAnsi="Times New Roman"/>
          <w:sz w:val="24"/>
          <w:szCs w:val="24"/>
        </w:rPr>
      </w:pPr>
      <w:r w:rsidRPr="007450B9">
        <w:rPr>
          <w:rFonts w:ascii="Times New Roman" w:hAnsi="Times New Roman"/>
          <w:sz w:val="24"/>
          <w:szCs w:val="24"/>
        </w:rPr>
        <w:t>Sabiedrības vidēja termiņa darbības stratēģijā 2024. – 2028.</w:t>
      </w:r>
      <w:r>
        <w:rPr>
          <w:rFonts w:ascii="Times New Roman" w:hAnsi="Times New Roman"/>
          <w:sz w:val="24"/>
          <w:szCs w:val="24"/>
        </w:rPr>
        <w:t xml:space="preserve"> </w:t>
      </w:r>
      <w:r w:rsidRPr="007450B9">
        <w:rPr>
          <w:rFonts w:ascii="Times New Roman" w:hAnsi="Times New Roman"/>
          <w:sz w:val="24"/>
          <w:szCs w:val="24"/>
        </w:rPr>
        <w:t>gadam ir noteikts vispārējais stratēģiskais mērķis, kā arī izvirzīti finanšu un nefinanšu mērķi. Stratēģijā kā viens no Sabiedrības izvirzītajiem nefinanšu mērķiem ir datortomogrāfijas iekārtas iegāde.</w:t>
      </w:r>
    </w:p>
    <w:p w14:paraId="26C75015" w14:textId="77777777" w:rsidR="002C3918" w:rsidRPr="007450B9" w:rsidRDefault="002C3918" w:rsidP="002C3918">
      <w:pPr>
        <w:ind w:firstLine="720"/>
        <w:jc w:val="both"/>
        <w:rPr>
          <w:rFonts w:ascii="Times New Roman" w:eastAsia="Calibri" w:hAnsi="Times New Roman"/>
          <w:sz w:val="24"/>
          <w:szCs w:val="24"/>
        </w:rPr>
      </w:pPr>
      <w:r w:rsidRPr="007450B9">
        <w:rPr>
          <w:rFonts w:ascii="Times New Roman" w:hAnsi="Times New Roman"/>
          <w:sz w:val="24"/>
          <w:szCs w:val="24"/>
        </w:rPr>
        <w:t>Saskaņā ar Sabiedrības 2025.</w:t>
      </w:r>
      <w:r>
        <w:rPr>
          <w:rFonts w:ascii="Times New Roman" w:hAnsi="Times New Roman"/>
          <w:sz w:val="24"/>
          <w:szCs w:val="24"/>
        </w:rPr>
        <w:t xml:space="preserve"> </w:t>
      </w:r>
      <w:r w:rsidRPr="007450B9">
        <w:rPr>
          <w:rFonts w:ascii="Times New Roman" w:hAnsi="Times New Roman"/>
          <w:sz w:val="24"/>
          <w:szCs w:val="24"/>
        </w:rPr>
        <w:t>gada pārskatu Sabiedrības pārskata gada peļņa ir 125 716 EUR.</w:t>
      </w:r>
    </w:p>
    <w:p w14:paraId="475808B9" w14:textId="77777777" w:rsidR="002C3918" w:rsidRPr="007450B9" w:rsidRDefault="002C3918" w:rsidP="002C3918">
      <w:pPr>
        <w:ind w:firstLine="720"/>
        <w:jc w:val="both"/>
        <w:rPr>
          <w:rFonts w:ascii="Times New Roman" w:hAnsi="Times New Roman"/>
          <w:sz w:val="24"/>
          <w:szCs w:val="24"/>
        </w:rPr>
      </w:pPr>
    </w:p>
    <w:p w14:paraId="17538BE8" w14:textId="77777777" w:rsidR="002C3918" w:rsidRPr="007450B9" w:rsidRDefault="002C3918" w:rsidP="002C3918">
      <w:pPr>
        <w:ind w:firstLine="720"/>
        <w:jc w:val="both"/>
        <w:rPr>
          <w:rFonts w:ascii="Times New Roman" w:eastAsia="Calibri" w:hAnsi="Times New Roman"/>
          <w:sz w:val="24"/>
          <w:szCs w:val="24"/>
        </w:rPr>
      </w:pPr>
      <w:r w:rsidRPr="007450B9">
        <w:rPr>
          <w:rFonts w:ascii="Times New Roman" w:hAnsi="Times New Roman"/>
          <w:sz w:val="24"/>
          <w:szCs w:val="24"/>
        </w:rPr>
        <w:t>Ņemot vērā Sabiedrības vidēja termiņa darbības stratēģijā 2024.</w:t>
      </w:r>
      <w:r>
        <w:rPr>
          <w:rFonts w:ascii="Times New Roman" w:hAnsi="Times New Roman"/>
          <w:sz w:val="24"/>
          <w:szCs w:val="24"/>
        </w:rPr>
        <w:t xml:space="preserve"> </w:t>
      </w:r>
      <w:r w:rsidRPr="007450B9">
        <w:rPr>
          <w:rFonts w:ascii="Times New Roman" w:hAnsi="Times New Roman"/>
          <w:sz w:val="24"/>
          <w:szCs w:val="24"/>
        </w:rPr>
        <w:t>-</w:t>
      </w:r>
      <w:r>
        <w:rPr>
          <w:rFonts w:ascii="Times New Roman" w:hAnsi="Times New Roman"/>
          <w:sz w:val="24"/>
          <w:szCs w:val="24"/>
        </w:rPr>
        <w:t xml:space="preserve"> </w:t>
      </w:r>
      <w:r w:rsidRPr="007450B9">
        <w:rPr>
          <w:rFonts w:ascii="Times New Roman" w:hAnsi="Times New Roman"/>
          <w:sz w:val="24"/>
          <w:szCs w:val="24"/>
        </w:rPr>
        <w:t>2028.</w:t>
      </w:r>
      <w:r>
        <w:rPr>
          <w:rFonts w:ascii="Times New Roman" w:hAnsi="Times New Roman"/>
          <w:sz w:val="24"/>
          <w:szCs w:val="24"/>
        </w:rPr>
        <w:t xml:space="preserve"> </w:t>
      </w:r>
      <w:r w:rsidRPr="007450B9">
        <w:rPr>
          <w:rFonts w:ascii="Times New Roman" w:hAnsi="Times New Roman"/>
          <w:sz w:val="24"/>
          <w:szCs w:val="24"/>
        </w:rPr>
        <w:t xml:space="preserve">gadam  norādītos mērķus, </w:t>
      </w:r>
      <w:r w:rsidRPr="007450B9">
        <w:rPr>
          <w:rFonts w:ascii="Times New Roman" w:eastAsia="Calibri" w:hAnsi="Times New Roman"/>
          <w:sz w:val="24"/>
          <w:szCs w:val="24"/>
        </w:rPr>
        <w:t>pamatojoties uz Pašvaldību likuma 10. panta pirmās daļas 21. punktu, Publiskas personas kapitāla daļu un kapitālsabiedrību pārvaldības likuma 35. pantu un ievērojot Alūksnes novada pašvaldības domes 27.06.2024. apstiprināto noteikumu Nr. 4/2024 “Par Alūksnes novada pašvaldības kapitāla daļu pārvaldību” 50., 52. punktu,</w:t>
      </w:r>
    </w:p>
    <w:p w14:paraId="3E0F16B2" w14:textId="77777777" w:rsidR="002C3918" w:rsidRPr="007450B9" w:rsidRDefault="002C3918" w:rsidP="002C3918">
      <w:pPr>
        <w:jc w:val="both"/>
        <w:rPr>
          <w:rFonts w:ascii="Times New Roman" w:hAnsi="Times New Roman"/>
          <w:sz w:val="24"/>
          <w:szCs w:val="24"/>
        </w:rPr>
      </w:pPr>
    </w:p>
    <w:p w14:paraId="44A172EF" w14:textId="63E6809B" w:rsidR="00AB3D32" w:rsidRDefault="002C3918" w:rsidP="002C3918">
      <w:pPr>
        <w:jc w:val="both"/>
      </w:pPr>
      <w:r w:rsidRPr="007450B9">
        <w:rPr>
          <w:rFonts w:ascii="Times New Roman" w:hAnsi="Times New Roman"/>
          <w:sz w:val="24"/>
          <w:szCs w:val="24"/>
        </w:rPr>
        <w:t>atbalstīt, ka SIA “Alūksnes slimnīca”, reģistrācijas Nr. 40003252612, 2025.</w:t>
      </w:r>
      <w:r>
        <w:rPr>
          <w:rFonts w:ascii="Times New Roman" w:hAnsi="Times New Roman"/>
          <w:sz w:val="24"/>
          <w:szCs w:val="24"/>
        </w:rPr>
        <w:t xml:space="preserve"> </w:t>
      </w:r>
      <w:r w:rsidRPr="007450B9">
        <w:rPr>
          <w:rFonts w:ascii="Times New Roman" w:hAnsi="Times New Roman"/>
          <w:sz w:val="24"/>
          <w:szCs w:val="24"/>
        </w:rPr>
        <w:t>gada peļņa 125 716 EUR netiek sadalīta, bet novirzīta SIA “Alūksnes slimnīca” attīstībai – datortomogrāfijas iekārtas iegādei.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6"/>
    <w:rsid w:val="002C3918"/>
    <w:rsid w:val="00593C52"/>
    <w:rsid w:val="00AB3D32"/>
    <w:rsid w:val="00C3556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C55F"/>
  <w15:chartTrackingRefBased/>
  <w15:docId w15:val="{BF313862-1276-4484-BF7C-717AD221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3918"/>
    <w:pPr>
      <w:spacing w:after="0" w:line="240" w:lineRule="auto"/>
    </w:pPr>
    <w:rPr>
      <w:rFonts w:ascii="Arial" w:eastAsia="Times New Roman" w:hAnsi="Arial" w:cs="Times New Roman"/>
      <w:kern w:val="0"/>
      <w:sz w:val="20"/>
      <w:szCs w:val="20"/>
      <w14:ligatures w14:val="none"/>
    </w:rPr>
  </w:style>
  <w:style w:type="paragraph" w:styleId="Virsraksts1">
    <w:name w:val="heading 1"/>
    <w:basedOn w:val="Parasts"/>
    <w:next w:val="Parasts"/>
    <w:link w:val="Virsraksts1Rakstz"/>
    <w:uiPriority w:val="9"/>
    <w:qFormat/>
    <w:rsid w:val="00C355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355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355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355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C355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C3556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C3556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C3556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C3556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556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3556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3556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3556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3556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3556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3556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3556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3556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355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355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355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3556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35566"/>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C35566"/>
    <w:rPr>
      <w:i/>
      <w:iCs/>
      <w:color w:val="404040" w:themeColor="text1" w:themeTint="BF"/>
    </w:rPr>
  </w:style>
  <w:style w:type="paragraph" w:styleId="Sarakstarindkopa">
    <w:name w:val="List Paragraph"/>
    <w:basedOn w:val="Parasts"/>
    <w:uiPriority w:val="34"/>
    <w:qFormat/>
    <w:rsid w:val="00C35566"/>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vsizclums">
    <w:name w:val="Intense Emphasis"/>
    <w:basedOn w:val="Noklusjumarindkopasfonts"/>
    <w:uiPriority w:val="21"/>
    <w:qFormat/>
    <w:rsid w:val="00C35566"/>
    <w:rPr>
      <w:i/>
      <w:iCs/>
      <w:color w:val="0F4761" w:themeColor="accent1" w:themeShade="BF"/>
    </w:rPr>
  </w:style>
  <w:style w:type="paragraph" w:styleId="Intensvscitts">
    <w:name w:val="Intense Quote"/>
    <w:basedOn w:val="Parasts"/>
    <w:next w:val="Parasts"/>
    <w:link w:val="IntensvscittsRakstz"/>
    <w:uiPriority w:val="30"/>
    <w:qFormat/>
    <w:rsid w:val="00C355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C35566"/>
    <w:rPr>
      <w:i/>
      <w:iCs/>
      <w:color w:val="0F4761" w:themeColor="accent1" w:themeShade="BF"/>
    </w:rPr>
  </w:style>
  <w:style w:type="character" w:styleId="Intensvaatsauce">
    <w:name w:val="Intense Reference"/>
    <w:basedOn w:val="Noklusjumarindkopasfonts"/>
    <w:uiPriority w:val="32"/>
    <w:qFormat/>
    <w:rsid w:val="00C35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706</Characters>
  <Application>Microsoft Office Word</Application>
  <DocSecurity>0</DocSecurity>
  <Lines>5</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2026-05-21T13:12:00Z</dcterms:created>
  <dcterms:modified xsi:type="dcterms:W3CDTF">2026-05-21T13:12:00Z</dcterms:modified>
</cp:coreProperties>
</file>