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37DC" w14:textId="77777777" w:rsidR="00AA4759" w:rsidRPr="003928DE" w:rsidRDefault="00AA4759" w:rsidP="00AA4759">
      <w:pPr>
        <w:spacing w:after="0" w:line="240" w:lineRule="auto"/>
        <w:jc w:val="right"/>
        <w:rPr>
          <w:rFonts w:eastAsia="Times New Roman" w:cs="Times New Roman"/>
          <w:i/>
          <w:kern w:val="0"/>
          <w14:ligatures w14:val="none"/>
        </w:rPr>
      </w:pPr>
      <w:r w:rsidRPr="003928DE">
        <w:rPr>
          <w:rFonts w:eastAsia="Times New Roman" w:cs="Times New Roman"/>
          <w:i/>
          <w:kern w:val="0"/>
          <w14:ligatures w14:val="none"/>
        </w:rPr>
        <w:t xml:space="preserve">Domes lēmuma projekts </w:t>
      </w:r>
    </w:p>
    <w:p w14:paraId="6C05D3CD" w14:textId="77777777" w:rsidR="00AA4759" w:rsidRPr="003928DE" w:rsidRDefault="00AA4759" w:rsidP="00AA4759">
      <w:pPr>
        <w:spacing w:after="0" w:line="240" w:lineRule="auto"/>
        <w:jc w:val="right"/>
        <w:rPr>
          <w:rFonts w:eastAsia="Times New Roman" w:cs="Times New Roman"/>
          <w:kern w:val="0"/>
          <w14:ligatures w14:val="none"/>
        </w:rPr>
      </w:pPr>
    </w:p>
    <w:p w14:paraId="369B5A6E" w14:textId="77777777" w:rsidR="00AA4759" w:rsidRPr="003928DE" w:rsidRDefault="00AA4759" w:rsidP="00AA4759">
      <w:pPr>
        <w:spacing w:after="0" w:line="240" w:lineRule="auto"/>
        <w:jc w:val="center"/>
        <w:rPr>
          <w:rFonts w:eastAsia="Times New Roman" w:cs="Times New Roman"/>
          <w:b/>
          <w:kern w:val="0"/>
          <w14:ligatures w14:val="none"/>
        </w:rPr>
      </w:pPr>
      <w:r w:rsidRPr="003928DE">
        <w:rPr>
          <w:rFonts w:eastAsia="Times New Roman" w:cs="Times New Roman"/>
          <w:b/>
          <w:kern w:val="0"/>
          <w14:ligatures w14:val="none"/>
        </w:rPr>
        <w:t>Par saistošo noteikumu Nr. _/2026 “Grozījumi Al</w:t>
      </w:r>
      <w:r>
        <w:rPr>
          <w:rFonts w:eastAsia="Times New Roman" w:cs="Times New Roman"/>
          <w:b/>
          <w:kern w:val="0"/>
          <w14:ligatures w14:val="none"/>
        </w:rPr>
        <w:t xml:space="preserve">ūksnes novada pašvaldības domes </w:t>
      </w:r>
      <w:r w:rsidRPr="00AF43B6">
        <w:rPr>
          <w:rFonts w:eastAsia="Times New Roman" w:cs="Times New Roman"/>
          <w:b/>
          <w:kern w:val="0"/>
          <w14:ligatures w14:val="none"/>
        </w:rPr>
        <w:t>2024.</w:t>
      </w:r>
      <w:r>
        <w:rPr>
          <w:rFonts w:eastAsia="Times New Roman" w:cs="Times New Roman"/>
          <w:b/>
          <w:kern w:val="0"/>
          <w14:ligatures w14:val="none"/>
        </w:rPr>
        <w:t> </w:t>
      </w:r>
      <w:r w:rsidRPr="00AF43B6">
        <w:rPr>
          <w:rFonts w:eastAsia="Times New Roman" w:cs="Times New Roman"/>
          <w:b/>
          <w:kern w:val="0"/>
          <w14:ligatures w14:val="none"/>
        </w:rPr>
        <w:t>gada 28.</w:t>
      </w:r>
      <w:r>
        <w:rPr>
          <w:rFonts w:eastAsia="Times New Roman" w:cs="Times New Roman"/>
          <w:b/>
          <w:kern w:val="0"/>
          <w14:ligatures w14:val="none"/>
        </w:rPr>
        <w:t> </w:t>
      </w:r>
      <w:r w:rsidRPr="00AF43B6">
        <w:rPr>
          <w:rFonts w:eastAsia="Times New Roman" w:cs="Times New Roman"/>
          <w:b/>
          <w:kern w:val="0"/>
          <w14:ligatures w14:val="none"/>
        </w:rPr>
        <w:t>novembra sais</w:t>
      </w:r>
      <w:r>
        <w:rPr>
          <w:rFonts w:eastAsia="Times New Roman" w:cs="Times New Roman"/>
          <w:b/>
          <w:kern w:val="0"/>
          <w14:ligatures w14:val="none"/>
        </w:rPr>
        <w:t>tošajos noteikumos Nr. 36/2024 “</w:t>
      </w:r>
      <w:r w:rsidRPr="00AF43B6">
        <w:rPr>
          <w:rFonts w:eastAsia="Times New Roman" w:cs="Times New Roman"/>
          <w:b/>
          <w:kern w:val="0"/>
          <w14:ligatures w14:val="none"/>
        </w:rPr>
        <w:t>Par Alūk</w:t>
      </w:r>
      <w:r>
        <w:rPr>
          <w:rFonts w:eastAsia="Times New Roman" w:cs="Times New Roman"/>
          <w:b/>
          <w:kern w:val="0"/>
          <w14:ligatures w14:val="none"/>
        </w:rPr>
        <w:t>snes novada pašvaldības nodevām</w:t>
      </w:r>
      <w:r w:rsidRPr="003928DE">
        <w:rPr>
          <w:rFonts w:eastAsia="Times New Roman" w:cs="Times New Roman"/>
          <w:b/>
          <w:kern w:val="0"/>
          <w14:ligatures w14:val="none"/>
        </w:rPr>
        <w:t>”” izdošanu</w:t>
      </w:r>
    </w:p>
    <w:p w14:paraId="00E90AA7" w14:textId="77777777" w:rsidR="00AA4759" w:rsidRPr="003928DE" w:rsidRDefault="00AA4759" w:rsidP="00AA4759">
      <w:pPr>
        <w:tabs>
          <w:tab w:val="left" w:pos="900"/>
          <w:tab w:val="num" w:pos="1080"/>
        </w:tabs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</w:p>
    <w:p w14:paraId="074A503C" w14:textId="77777777" w:rsidR="00AA4759" w:rsidRPr="003928DE" w:rsidRDefault="00AA4759" w:rsidP="00AA4759">
      <w:pPr>
        <w:tabs>
          <w:tab w:val="left" w:pos="900"/>
          <w:tab w:val="num" w:pos="1080"/>
        </w:tabs>
        <w:spacing w:after="0" w:line="240" w:lineRule="auto"/>
        <w:jc w:val="both"/>
        <w:rPr>
          <w:rFonts w:eastAsia="Times New Roman" w:cs="Times New Roman"/>
          <w:kern w:val="0"/>
          <w14:ligatures w14:val="none"/>
        </w:rPr>
      </w:pPr>
      <w:r w:rsidRPr="003928DE">
        <w:rPr>
          <w:rFonts w:eastAsia="Times New Roman" w:cs="Times New Roman"/>
          <w:kern w:val="0"/>
          <w14:ligatures w14:val="none"/>
        </w:rPr>
        <w:tab/>
      </w:r>
      <w:r w:rsidRPr="00AF43B6">
        <w:rPr>
          <w:rFonts w:eastAsia="Times New Roman" w:cs="Times New Roman"/>
          <w:iCs/>
          <w:kern w:val="0"/>
          <w:szCs w:val="28"/>
          <w:lang w:eastAsia="lv-LV"/>
          <w14:ligatures w14:val="none"/>
        </w:rPr>
        <w:t xml:space="preserve">Pamatojoties uz </w:t>
      </w:r>
      <w:r w:rsidRPr="00A50E0F">
        <w:rPr>
          <w:rFonts w:cs="Times New Roman"/>
          <w:iCs/>
          <w:color w:val="414142"/>
          <w:shd w:val="clear" w:color="auto" w:fill="FFFFFF"/>
        </w:rPr>
        <w:t>likuma "Par nodokļiem un nodevām"</w:t>
      </w:r>
      <w:r w:rsidRPr="00A50E0F">
        <w:rPr>
          <w:rFonts w:cs="Times New Roman"/>
          <w:iCs/>
          <w:color w:val="414142"/>
        </w:rPr>
        <w:br/>
      </w:r>
      <w:r w:rsidRPr="00A50E0F">
        <w:rPr>
          <w:rFonts w:cs="Times New Roman"/>
          <w:iCs/>
          <w:color w:val="414142"/>
          <w:shd w:val="clear" w:color="auto" w:fill="FFFFFF"/>
        </w:rPr>
        <w:t>12. panta pirmās daļas 1., 2., 4., 5., 7., 10. punktu,</w:t>
      </w:r>
      <w:r w:rsidRPr="00A50E0F">
        <w:rPr>
          <w:rFonts w:cs="Times New Roman"/>
          <w:iCs/>
          <w:color w:val="414142"/>
        </w:rPr>
        <w:br/>
      </w:r>
      <w:r w:rsidRPr="00A50E0F">
        <w:rPr>
          <w:rFonts w:cs="Times New Roman"/>
          <w:iCs/>
          <w:color w:val="414142"/>
          <w:shd w:val="clear" w:color="auto" w:fill="FFFFFF"/>
        </w:rPr>
        <w:t>Ministru kabineta 2005. gada 28. jūnija noteikumu Nr. 480</w:t>
      </w:r>
      <w:r w:rsidRPr="00A50E0F">
        <w:rPr>
          <w:rFonts w:cs="Times New Roman"/>
          <w:iCs/>
          <w:color w:val="414142"/>
        </w:rPr>
        <w:br/>
      </w:r>
      <w:r w:rsidRPr="00A50E0F">
        <w:rPr>
          <w:rFonts w:cs="Times New Roman"/>
          <w:iCs/>
          <w:color w:val="414142"/>
          <w:shd w:val="clear" w:color="auto" w:fill="FFFFFF"/>
        </w:rPr>
        <w:t>"Noteikumi par kārtību, kādā pašvaldības</w:t>
      </w:r>
      <w:r w:rsidRPr="00A50E0F">
        <w:rPr>
          <w:rFonts w:cs="Times New Roman"/>
          <w:iCs/>
          <w:color w:val="414142"/>
        </w:rPr>
        <w:br/>
      </w:r>
      <w:r w:rsidRPr="00A50E0F">
        <w:rPr>
          <w:rFonts w:cs="Times New Roman"/>
          <w:iCs/>
          <w:color w:val="414142"/>
          <w:shd w:val="clear" w:color="auto" w:fill="FFFFFF"/>
        </w:rPr>
        <w:t>var uzlikt pašvaldības nodevas" 16.</w:t>
      </w:r>
      <w:r w:rsidRPr="00A50E0F">
        <w:rPr>
          <w:rFonts w:cs="Times New Roman"/>
          <w:iCs/>
          <w:color w:val="414142"/>
          <w:shd w:val="clear" w:color="auto" w:fill="FFFFFF"/>
          <w:vertAlign w:val="superscript"/>
        </w:rPr>
        <w:t>1</w:t>
      </w:r>
      <w:r w:rsidRPr="00A50E0F">
        <w:rPr>
          <w:rFonts w:cs="Times New Roman"/>
          <w:iCs/>
          <w:color w:val="414142"/>
          <w:shd w:val="clear" w:color="auto" w:fill="FFFFFF"/>
        </w:rPr>
        <w:t> punktu</w:t>
      </w:r>
    </w:p>
    <w:p w14:paraId="48F4BDAD" w14:textId="77777777" w:rsidR="00AA4759" w:rsidRPr="003928DE" w:rsidRDefault="00AA4759" w:rsidP="00AA4759">
      <w:pPr>
        <w:tabs>
          <w:tab w:val="left" w:pos="900"/>
          <w:tab w:val="num" w:pos="1080"/>
        </w:tabs>
        <w:spacing w:after="0" w:line="240" w:lineRule="auto"/>
        <w:jc w:val="center"/>
        <w:rPr>
          <w:rFonts w:eastAsia="Times New Roman" w:cs="Times New Roman"/>
          <w:kern w:val="0"/>
          <w14:ligatures w14:val="none"/>
        </w:rPr>
      </w:pPr>
      <w:r w:rsidRPr="003928DE">
        <w:rPr>
          <w:rFonts w:eastAsia="Times New Roman" w:cs="Times New Roman"/>
          <w:color w:val="000000"/>
          <w:kern w:val="0"/>
          <w14:ligatures w14:val="none"/>
        </w:rPr>
        <w:tab/>
      </w:r>
    </w:p>
    <w:p w14:paraId="65888067" w14:textId="701D7DCF" w:rsidR="00AB3D32" w:rsidRDefault="00AA4759" w:rsidP="00AA4759">
      <w:pPr>
        <w:jc w:val="both"/>
        <w:rPr>
          <w:rFonts w:eastAsia="Times New Roman" w:cs="Times New Roman"/>
          <w:color w:val="000000"/>
          <w:kern w:val="0"/>
          <w14:ligatures w14:val="none"/>
        </w:rPr>
      </w:pPr>
      <w:r w:rsidRPr="003928DE">
        <w:rPr>
          <w:rFonts w:eastAsia="Times New Roman" w:cs="Times New Roman"/>
          <w:color w:val="000000"/>
          <w:kern w:val="0"/>
          <w14:ligatures w14:val="none"/>
        </w:rPr>
        <w:t>izdot saistošos noteikumus Nr. _/2026 “</w:t>
      </w:r>
      <w:r w:rsidRPr="00AF43B6">
        <w:rPr>
          <w:rFonts w:eastAsia="Times New Roman" w:cs="Times New Roman"/>
          <w:color w:val="000000"/>
          <w:kern w:val="0"/>
          <w14:ligatures w14:val="none"/>
        </w:rPr>
        <w:t>Grozījumi Alūksnes novada pašvaldības domes 2024.</w:t>
      </w:r>
      <w:r>
        <w:rPr>
          <w:rFonts w:eastAsia="Times New Roman" w:cs="Times New Roman"/>
          <w:color w:val="000000"/>
          <w:kern w:val="0"/>
          <w14:ligatures w14:val="none"/>
        </w:rPr>
        <w:t> </w:t>
      </w:r>
      <w:r w:rsidRPr="00AF43B6">
        <w:rPr>
          <w:rFonts w:eastAsia="Times New Roman" w:cs="Times New Roman"/>
          <w:color w:val="000000"/>
          <w:kern w:val="0"/>
          <w14:ligatures w14:val="none"/>
        </w:rPr>
        <w:t>gada 28.</w:t>
      </w:r>
      <w:r>
        <w:rPr>
          <w:rFonts w:eastAsia="Times New Roman" w:cs="Times New Roman"/>
          <w:color w:val="000000"/>
          <w:kern w:val="0"/>
          <w14:ligatures w14:val="none"/>
        </w:rPr>
        <w:t> </w:t>
      </w:r>
      <w:r w:rsidRPr="00AF43B6">
        <w:rPr>
          <w:rFonts w:eastAsia="Times New Roman" w:cs="Times New Roman"/>
          <w:color w:val="000000"/>
          <w:kern w:val="0"/>
          <w14:ligatures w14:val="none"/>
        </w:rPr>
        <w:t>novembra saistošajos noteikumos Nr.</w:t>
      </w:r>
      <w:r>
        <w:rPr>
          <w:rFonts w:eastAsia="Times New Roman" w:cs="Times New Roman"/>
          <w:color w:val="000000"/>
          <w:kern w:val="0"/>
          <w14:ligatures w14:val="none"/>
        </w:rPr>
        <w:t> </w:t>
      </w:r>
      <w:r w:rsidRPr="00AF43B6">
        <w:rPr>
          <w:rFonts w:eastAsia="Times New Roman" w:cs="Times New Roman"/>
          <w:color w:val="000000"/>
          <w:kern w:val="0"/>
          <w14:ligatures w14:val="none"/>
        </w:rPr>
        <w:t>36/2024 “Par Alūksnes novada pašvaldības nodevām</w:t>
      </w:r>
      <w:r w:rsidRPr="00975D16">
        <w:rPr>
          <w:rFonts w:eastAsia="Times New Roman" w:cs="Times New Roman"/>
          <w:kern w:val="0"/>
          <w14:ligatures w14:val="none"/>
        </w:rPr>
        <w:t>””</w:t>
      </w:r>
      <w:r w:rsidRPr="00975D16">
        <w:rPr>
          <w:rFonts w:eastAsia="Times New Roman" w:cs="Times New Roman"/>
          <w:color w:val="000000"/>
          <w:kern w:val="0"/>
          <w14:ligatures w14:val="none"/>
        </w:rPr>
        <w:t>.</w:t>
      </w:r>
    </w:p>
    <w:p w14:paraId="7983AA8D" w14:textId="77777777" w:rsidR="00AA4759" w:rsidRPr="00230390" w:rsidRDefault="00AA4759" w:rsidP="00AA4759">
      <w:pPr>
        <w:spacing w:after="0" w:line="240" w:lineRule="auto"/>
        <w:jc w:val="right"/>
        <w:rPr>
          <w:rFonts w:eastAsia="Times New Roman" w:cs="Times New Roman"/>
          <w:i/>
          <w:color w:val="000000"/>
          <w:kern w:val="0"/>
          <w:szCs w:val="20"/>
          <w:lang w:eastAsia="lv-LV"/>
          <w14:ligatures w14:val="none"/>
        </w:rPr>
      </w:pPr>
      <w:r w:rsidRPr="00230390">
        <w:rPr>
          <w:rFonts w:eastAsia="Times New Roman" w:cs="Times New Roman"/>
          <w:i/>
          <w:color w:val="000000"/>
          <w:kern w:val="0"/>
          <w:szCs w:val="20"/>
          <w:lang w:eastAsia="lv-LV"/>
          <w14:ligatures w14:val="none"/>
        </w:rPr>
        <w:t>Saistošo noteikumu projekts</w:t>
      </w:r>
    </w:p>
    <w:p w14:paraId="4B32E081" w14:textId="77777777" w:rsidR="00AA4759" w:rsidRPr="00230390" w:rsidRDefault="00AA4759" w:rsidP="00AA4759">
      <w:pPr>
        <w:spacing w:after="0" w:line="240" w:lineRule="auto"/>
        <w:jc w:val="right"/>
        <w:rPr>
          <w:rFonts w:eastAsia="Times New Roman" w:cs="Times New Roman"/>
          <w:color w:val="000000"/>
          <w:kern w:val="0"/>
          <w:szCs w:val="20"/>
          <w:lang w:eastAsia="lv-LV"/>
          <w14:ligatures w14:val="none"/>
        </w:rPr>
      </w:pPr>
    </w:p>
    <w:p w14:paraId="79DB834F" w14:textId="77777777" w:rsidR="00AA4759" w:rsidRPr="00230390" w:rsidRDefault="00AA4759" w:rsidP="00AA4759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Cs w:val="20"/>
          <w:lang w:eastAsia="lv-LV"/>
          <w14:ligatures w14:val="none"/>
        </w:rPr>
      </w:pPr>
      <w:r w:rsidRPr="00230390">
        <w:rPr>
          <w:rFonts w:eastAsia="Times New Roman" w:cs="Times New Roman"/>
          <w:b/>
          <w:color w:val="000000"/>
          <w:kern w:val="0"/>
          <w:szCs w:val="20"/>
          <w:lang w:eastAsia="lv-LV"/>
          <w14:ligatures w14:val="none"/>
        </w:rPr>
        <w:t xml:space="preserve">Grozījumi Alūksnes novada pašvaldības domes </w:t>
      </w:r>
      <w:r w:rsidRPr="00AF43B6">
        <w:rPr>
          <w:rFonts w:eastAsia="Times New Roman" w:cs="Times New Roman"/>
          <w:b/>
          <w:kern w:val="0"/>
          <w14:ligatures w14:val="none"/>
        </w:rPr>
        <w:t>2024.</w:t>
      </w:r>
      <w:r>
        <w:rPr>
          <w:rFonts w:eastAsia="Times New Roman" w:cs="Times New Roman"/>
          <w:b/>
          <w:kern w:val="0"/>
          <w14:ligatures w14:val="none"/>
        </w:rPr>
        <w:t> </w:t>
      </w:r>
      <w:r w:rsidRPr="00AF43B6">
        <w:rPr>
          <w:rFonts w:eastAsia="Times New Roman" w:cs="Times New Roman"/>
          <w:b/>
          <w:kern w:val="0"/>
          <w14:ligatures w14:val="none"/>
        </w:rPr>
        <w:t>gada 28.</w:t>
      </w:r>
      <w:r>
        <w:rPr>
          <w:rFonts w:eastAsia="Times New Roman" w:cs="Times New Roman"/>
          <w:b/>
          <w:kern w:val="0"/>
          <w14:ligatures w14:val="none"/>
        </w:rPr>
        <w:t> </w:t>
      </w:r>
      <w:r w:rsidRPr="00AF43B6">
        <w:rPr>
          <w:rFonts w:eastAsia="Times New Roman" w:cs="Times New Roman"/>
          <w:b/>
          <w:kern w:val="0"/>
          <w14:ligatures w14:val="none"/>
        </w:rPr>
        <w:t>novembra saistošajos noteikumos Nr.</w:t>
      </w:r>
      <w:r>
        <w:rPr>
          <w:rFonts w:eastAsia="Times New Roman" w:cs="Times New Roman"/>
          <w:b/>
          <w:kern w:val="0"/>
          <w14:ligatures w14:val="none"/>
        </w:rPr>
        <w:t> </w:t>
      </w:r>
      <w:r w:rsidRPr="00AF43B6">
        <w:rPr>
          <w:rFonts w:eastAsia="Times New Roman" w:cs="Times New Roman"/>
          <w:b/>
          <w:kern w:val="0"/>
          <w14:ligatures w14:val="none"/>
        </w:rPr>
        <w:t>36/2024 “Par Alūksnes novada pašvaldības nodevām</w:t>
      </w:r>
      <w:r w:rsidRPr="00B91E11">
        <w:rPr>
          <w:rFonts w:eastAsia="Times New Roman" w:cs="Times New Roman"/>
          <w:b/>
          <w:kern w:val="0"/>
          <w14:ligatures w14:val="none"/>
        </w:rPr>
        <w:t>”</w:t>
      </w:r>
    </w:p>
    <w:p w14:paraId="754974B8" w14:textId="77777777" w:rsidR="00AA4759" w:rsidRPr="00230390" w:rsidRDefault="00AA4759" w:rsidP="00AA4759">
      <w:pPr>
        <w:spacing w:after="0" w:line="240" w:lineRule="auto"/>
        <w:rPr>
          <w:rFonts w:eastAsia="Times New Roman" w:cs="Times New Roman"/>
          <w:b/>
          <w:kern w:val="0"/>
          <w:lang w:eastAsia="lv-LV"/>
          <w14:ligatures w14:val="none"/>
        </w:rPr>
      </w:pPr>
    </w:p>
    <w:p w14:paraId="1E0F9CF9" w14:textId="77777777" w:rsidR="00AA4759" w:rsidRPr="00230390" w:rsidRDefault="00AA4759" w:rsidP="00AA4759">
      <w:pPr>
        <w:tabs>
          <w:tab w:val="left" w:pos="900"/>
          <w:tab w:val="num" w:pos="1080"/>
        </w:tabs>
        <w:spacing w:after="0" w:line="240" w:lineRule="auto"/>
        <w:jc w:val="right"/>
        <w:rPr>
          <w:rFonts w:eastAsia="Times New Roman" w:cs="Times New Roman"/>
          <w:i/>
          <w:iCs/>
          <w:kern w:val="0"/>
          <w14:ligatures w14:val="none"/>
        </w:rPr>
      </w:pPr>
      <w:r w:rsidRPr="00230390">
        <w:rPr>
          <w:rFonts w:eastAsia="Times New Roman" w:cs="Times New Roman"/>
          <w:i/>
          <w:iCs/>
          <w:kern w:val="0"/>
          <w:szCs w:val="28"/>
          <w:lang w:eastAsia="lv-LV"/>
          <w14:ligatures w14:val="none"/>
        </w:rPr>
        <w:t xml:space="preserve">Izdoti saskaņā </w:t>
      </w:r>
      <w:r w:rsidRPr="00AF43B6">
        <w:rPr>
          <w:rFonts w:eastAsia="Times New Roman" w:cs="Times New Roman"/>
          <w:i/>
          <w:iCs/>
          <w:kern w:val="0"/>
          <w:szCs w:val="28"/>
          <w:lang w:eastAsia="lv-LV"/>
          <w14:ligatures w14:val="none"/>
        </w:rPr>
        <w:t xml:space="preserve">ar </w:t>
      </w:r>
      <w:r>
        <w:rPr>
          <w:rFonts w:ascii="Arial" w:hAnsi="Arial" w:cs="Arial"/>
          <w:i/>
          <w:iCs/>
          <w:color w:val="414142"/>
          <w:sz w:val="20"/>
          <w:szCs w:val="20"/>
          <w:shd w:val="clear" w:color="auto" w:fill="FFFFFF"/>
        </w:rPr>
        <w:t xml:space="preserve"> </w:t>
      </w:r>
      <w:r w:rsidRPr="00A50E0F">
        <w:rPr>
          <w:rFonts w:cs="Times New Roman"/>
          <w:i/>
          <w:iCs/>
          <w:color w:val="414142"/>
          <w:shd w:val="clear" w:color="auto" w:fill="FFFFFF"/>
        </w:rPr>
        <w:t>likuma "Par nodokļiem un nodevām"</w:t>
      </w:r>
      <w:r w:rsidRPr="00A50E0F">
        <w:rPr>
          <w:rFonts w:cs="Times New Roman"/>
          <w:i/>
          <w:iCs/>
          <w:color w:val="414142"/>
        </w:rPr>
        <w:br/>
      </w:r>
      <w:r w:rsidRPr="00A50E0F">
        <w:rPr>
          <w:rFonts w:cs="Times New Roman"/>
          <w:i/>
          <w:iCs/>
          <w:color w:val="414142"/>
          <w:shd w:val="clear" w:color="auto" w:fill="FFFFFF"/>
        </w:rPr>
        <w:t>12. panta pirmās daļas 1., 2., 4., 5., 7., 10. punktu,</w:t>
      </w:r>
      <w:r w:rsidRPr="00A50E0F">
        <w:rPr>
          <w:rFonts w:cs="Times New Roman"/>
          <w:i/>
          <w:iCs/>
          <w:color w:val="414142"/>
        </w:rPr>
        <w:br/>
      </w:r>
      <w:r w:rsidRPr="00A50E0F">
        <w:rPr>
          <w:rFonts w:cs="Times New Roman"/>
          <w:i/>
          <w:iCs/>
          <w:color w:val="414142"/>
          <w:shd w:val="clear" w:color="auto" w:fill="FFFFFF"/>
        </w:rPr>
        <w:t>Ministru kabineta 2005. gada 28. jūnija noteikumu Nr. 480</w:t>
      </w:r>
      <w:r w:rsidRPr="00A50E0F">
        <w:rPr>
          <w:rFonts w:cs="Times New Roman"/>
          <w:i/>
          <w:iCs/>
          <w:color w:val="414142"/>
        </w:rPr>
        <w:br/>
      </w:r>
      <w:r w:rsidRPr="00A50E0F">
        <w:rPr>
          <w:rFonts w:cs="Times New Roman"/>
          <w:i/>
          <w:iCs/>
          <w:color w:val="414142"/>
          <w:shd w:val="clear" w:color="auto" w:fill="FFFFFF"/>
        </w:rPr>
        <w:t>"Noteikumi par kārtību, kādā pašvaldības</w:t>
      </w:r>
      <w:r w:rsidRPr="00A50E0F">
        <w:rPr>
          <w:rFonts w:cs="Times New Roman"/>
          <w:i/>
          <w:iCs/>
          <w:color w:val="414142"/>
        </w:rPr>
        <w:br/>
      </w:r>
      <w:r w:rsidRPr="00A50E0F">
        <w:rPr>
          <w:rFonts w:cs="Times New Roman"/>
          <w:i/>
          <w:iCs/>
          <w:color w:val="414142"/>
          <w:shd w:val="clear" w:color="auto" w:fill="FFFFFF"/>
        </w:rPr>
        <w:t>var uzlikt pašvaldības nodevas" 16.</w:t>
      </w:r>
      <w:r w:rsidRPr="00A50E0F">
        <w:rPr>
          <w:rFonts w:cs="Times New Roman"/>
          <w:i/>
          <w:iCs/>
          <w:color w:val="414142"/>
          <w:shd w:val="clear" w:color="auto" w:fill="FFFFFF"/>
          <w:vertAlign w:val="superscript"/>
        </w:rPr>
        <w:t>1</w:t>
      </w:r>
      <w:r w:rsidRPr="00A50E0F">
        <w:rPr>
          <w:rFonts w:cs="Times New Roman"/>
          <w:i/>
          <w:iCs/>
          <w:color w:val="414142"/>
          <w:shd w:val="clear" w:color="auto" w:fill="FFFFFF"/>
        </w:rPr>
        <w:t> punktu</w:t>
      </w:r>
    </w:p>
    <w:p w14:paraId="5805C61C" w14:textId="77777777" w:rsidR="00AA4759" w:rsidRPr="00230390" w:rsidRDefault="00AA4759" w:rsidP="00AA4759">
      <w:pPr>
        <w:spacing w:after="0" w:line="240" w:lineRule="auto"/>
        <w:rPr>
          <w:rFonts w:eastAsia="Times New Roman" w:cs="Times New Roman"/>
          <w:kern w:val="0"/>
          <w:lang w:eastAsia="lv-LV"/>
          <w14:ligatures w14:val="none"/>
        </w:rPr>
      </w:pPr>
    </w:p>
    <w:p w14:paraId="708E0F37" w14:textId="77777777" w:rsidR="00AA4759" w:rsidRPr="00230390" w:rsidRDefault="00AA4759" w:rsidP="00AA4759">
      <w:pPr>
        <w:spacing w:after="0" w:line="240" w:lineRule="auto"/>
        <w:ind w:left="360" w:firstLine="360"/>
        <w:contextualSpacing/>
        <w:jc w:val="both"/>
        <w:rPr>
          <w:rFonts w:eastAsia="Times New Roman" w:cs="Times New Roman"/>
          <w:kern w:val="0"/>
          <w:lang w:eastAsia="lv-LV"/>
          <w14:ligatures w14:val="none"/>
        </w:rPr>
      </w:pPr>
      <w:r w:rsidRPr="00230390">
        <w:rPr>
          <w:rFonts w:eastAsia="Times New Roman" w:cs="Times New Roman"/>
          <w:kern w:val="0"/>
          <w:lang w:eastAsia="lv-LV"/>
          <w14:ligatures w14:val="none"/>
        </w:rPr>
        <w:t xml:space="preserve">Izdarīt </w:t>
      </w:r>
      <w:r w:rsidRPr="00230390">
        <w:rPr>
          <w:rFonts w:eastAsia="Times New Roman" w:cs="Times New Roman"/>
          <w:color w:val="000000"/>
          <w:kern w:val="0"/>
          <w:szCs w:val="20"/>
          <w:lang w:eastAsia="lv-LV"/>
          <w14:ligatures w14:val="none"/>
        </w:rPr>
        <w:t xml:space="preserve">Alūksnes novada pašvaldības domes </w:t>
      </w:r>
      <w:r w:rsidRPr="00243CCE">
        <w:rPr>
          <w:rFonts w:eastAsia="Times New Roman" w:cs="Times New Roman"/>
          <w:kern w:val="0"/>
          <w14:ligatures w14:val="none"/>
        </w:rPr>
        <w:t>2024.</w:t>
      </w:r>
      <w:r>
        <w:rPr>
          <w:rFonts w:eastAsia="Times New Roman" w:cs="Times New Roman"/>
          <w:kern w:val="0"/>
          <w14:ligatures w14:val="none"/>
        </w:rPr>
        <w:t xml:space="preserve"> </w:t>
      </w:r>
      <w:r w:rsidRPr="00243CCE">
        <w:rPr>
          <w:rFonts w:eastAsia="Times New Roman" w:cs="Times New Roman"/>
          <w:kern w:val="0"/>
          <w14:ligatures w14:val="none"/>
        </w:rPr>
        <w:t>gada 28.</w:t>
      </w:r>
      <w:r>
        <w:rPr>
          <w:rFonts w:eastAsia="Times New Roman" w:cs="Times New Roman"/>
          <w:kern w:val="0"/>
          <w14:ligatures w14:val="none"/>
        </w:rPr>
        <w:t> </w:t>
      </w:r>
      <w:r w:rsidRPr="00243CCE">
        <w:rPr>
          <w:rFonts w:eastAsia="Times New Roman" w:cs="Times New Roman"/>
          <w:kern w:val="0"/>
          <w14:ligatures w14:val="none"/>
        </w:rPr>
        <w:t>novembra saistošajos noteikumos Nr.</w:t>
      </w:r>
      <w:r>
        <w:rPr>
          <w:rFonts w:eastAsia="Times New Roman" w:cs="Times New Roman"/>
          <w:kern w:val="0"/>
          <w14:ligatures w14:val="none"/>
        </w:rPr>
        <w:t> </w:t>
      </w:r>
      <w:r w:rsidRPr="00243CCE">
        <w:rPr>
          <w:rFonts w:eastAsia="Times New Roman" w:cs="Times New Roman"/>
          <w:kern w:val="0"/>
          <w14:ligatures w14:val="none"/>
        </w:rPr>
        <w:t>36/2024 “Par Alūksnes novada pašvaldības nodevām”</w:t>
      </w:r>
      <w:r w:rsidRPr="00230390">
        <w:rPr>
          <w:rFonts w:eastAsia="Times New Roman" w:cs="Times New Roman"/>
          <w:kern w:val="0"/>
          <w:lang w:eastAsia="lv-LV"/>
          <w14:ligatures w14:val="none"/>
        </w:rPr>
        <w:t xml:space="preserve"> šādus grozījumus: </w:t>
      </w:r>
    </w:p>
    <w:p w14:paraId="14EA922A" w14:textId="77777777" w:rsidR="00AA4759" w:rsidRPr="00230390" w:rsidRDefault="00AA4759" w:rsidP="00AA4759">
      <w:pPr>
        <w:spacing w:after="0" w:line="240" w:lineRule="auto"/>
        <w:ind w:left="360"/>
        <w:contextualSpacing/>
        <w:jc w:val="both"/>
        <w:rPr>
          <w:rFonts w:eastAsia="Times New Roman" w:cs="Times New Roman"/>
          <w:b/>
          <w:color w:val="000000"/>
          <w:kern w:val="0"/>
          <w:szCs w:val="20"/>
          <w:lang w:eastAsia="lv-LV"/>
          <w14:ligatures w14:val="none"/>
        </w:rPr>
      </w:pPr>
    </w:p>
    <w:p w14:paraId="05F61F5E" w14:textId="77777777" w:rsidR="00AA4759" w:rsidRDefault="00AA4759" w:rsidP="00AA4759">
      <w:pPr>
        <w:numPr>
          <w:ilvl w:val="0"/>
          <w:numId w:val="1"/>
        </w:numPr>
        <w:tabs>
          <w:tab w:val="left" w:pos="0"/>
          <w:tab w:val="left" w:pos="284"/>
        </w:tabs>
        <w:spacing w:after="0" w:line="259" w:lineRule="auto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/>
          <w:kern w:val="0"/>
          <w:lang w:eastAsia="lv-LV"/>
          <w14:ligatures w14:val="none"/>
        </w:rPr>
        <w:t>Papildināt 9.punktu ar 9.3. apakšpunktu šādā redakcijā:</w:t>
      </w:r>
    </w:p>
    <w:tbl>
      <w:tblPr>
        <w:tblStyle w:val="Reatabula"/>
        <w:tblW w:w="0" w:type="auto"/>
        <w:tblInd w:w="1080" w:type="dxa"/>
        <w:tblLook w:val="04A0" w:firstRow="1" w:lastRow="0" w:firstColumn="1" w:lastColumn="0" w:noHBand="0" w:noVBand="1"/>
      </w:tblPr>
      <w:tblGrid>
        <w:gridCol w:w="1423"/>
        <w:gridCol w:w="4221"/>
        <w:gridCol w:w="1572"/>
      </w:tblGrid>
      <w:tr w:rsidR="00AA4759" w14:paraId="62F325C4" w14:textId="77777777" w:rsidTr="00256C91">
        <w:tc>
          <w:tcPr>
            <w:tcW w:w="1423" w:type="dxa"/>
          </w:tcPr>
          <w:p w14:paraId="4E1DFEE9" w14:textId="77777777" w:rsidR="00AA4759" w:rsidRDefault="00AA4759" w:rsidP="00256C91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9.3.</w:t>
            </w:r>
          </w:p>
        </w:tc>
        <w:tc>
          <w:tcPr>
            <w:tcW w:w="4221" w:type="dxa"/>
          </w:tcPr>
          <w:p w14:paraId="6FC91F76" w14:textId="77777777" w:rsidR="00AA4759" w:rsidRDefault="00AA4759" w:rsidP="00256C91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Tirdzniecības organizatoram par 9.1. apakšpunktā paredzētās ielu tirdzniecības organizēšanu, kad pašvaldības nodevu nemaksā katrs tirdzniecības dalībnieks:</w:t>
            </w:r>
          </w:p>
        </w:tc>
        <w:tc>
          <w:tcPr>
            <w:tcW w:w="1572" w:type="dxa"/>
          </w:tcPr>
          <w:p w14:paraId="11C8E483" w14:textId="77777777" w:rsidR="00AA4759" w:rsidRDefault="00AA4759" w:rsidP="00256C91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center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</w:p>
        </w:tc>
      </w:tr>
      <w:tr w:rsidR="00AA4759" w14:paraId="5D59A857" w14:textId="77777777" w:rsidTr="00256C91">
        <w:tc>
          <w:tcPr>
            <w:tcW w:w="1423" w:type="dxa"/>
          </w:tcPr>
          <w:p w14:paraId="24FCC88A" w14:textId="77777777" w:rsidR="00AA4759" w:rsidRDefault="00AA4759" w:rsidP="00256C91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9.3.1.</w:t>
            </w:r>
          </w:p>
        </w:tc>
        <w:tc>
          <w:tcPr>
            <w:tcW w:w="4221" w:type="dxa"/>
          </w:tcPr>
          <w:p w14:paraId="10A62509" w14:textId="77777777" w:rsidR="00AA4759" w:rsidRDefault="00AA4759" w:rsidP="00256C91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gadatirgus Alūksnes novada pagastu teritorijā</w:t>
            </w:r>
          </w:p>
        </w:tc>
        <w:tc>
          <w:tcPr>
            <w:tcW w:w="1572" w:type="dxa"/>
          </w:tcPr>
          <w:p w14:paraId="50E78802" w14:textId="77777777" w:rsidR="00AA4759" w:rsidRDefault="00AA4759" w:rsidP="00256C91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center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50</w:t>
            </w:r>
          </w:p>
        </w:tc>
      </w:tr>
      <w:tr w:rsidR="00AA4759" w14:paraId="798F7102" w14:textId="77777777" w:rsidTr="00256C91">
        <w:tc>
          <w:tcPr>
            <w:tcW w:w="1423" w:type="dxa"/>
          </w:tcPr>
          <w:p w14:paraId="539BF5DC" w14:textId="77777777" w:rsidR="00AA4759" w:rsidRDefault="00AA4759" w:rsidP="00256C91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9.3.2.</w:t>
            </w:r>
          </w:p>
        </w:tc>
        <w:tc>
          <w:tcPr>
            <w:tcW w:w="4221" w:type="dxa"/>
          </w:tcPr>
          <w:p w14:paraId="2133D41D" w14:textId="77777777" w:rsidR="00AA4759" w:rsidRDefault="00AA4759" w:rsidP="00256C91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both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mājražotāju/krāmu tirdziņš</w:t>
            </w:r>
          </w:p>
        </w:tc>
        <w:tc>
          <w:tcPr>
            <w:tcW w:w="1572" w:type="dxa"/>
          </w:tcPr>
          <w:p w14:paraId="5C5D122F" w14:textId="77777777" w:rsidR="00AA4759" w:rsidRDefault="00AA4759" w:rsidP="00256C91">
            <w:pPr>
              <w:tabs>
                <w:tab w:val="left" w:pos="0"/>
                <w:tab w:val="left" w:pos="284"/>
              </w:tabs>
              <w:spacing w:line="259" w:lineRule="auto"/>
              <w:contextualSpacing/>
              <w:jc w:val="center"/>
              <w:rPr>
                <w:rFonts w:eastAsia="Calibri" w:cs="Times New Roman"/>
                <w:kern w:val="0"/>
                <w:lang w:eastAsia="lv-LV"/>
                <w14:ligatures w14:val="none"/>
              </w:rPr>
            </w:pPr>
            <w:r>
              <w:rPr>
                <w:rFonts w:eastAsia="Calibri" w:cs="Times New Roman"/>
                <w:kern w:val="0"/>
                <w:lang w:eastAsia="lv-LV"/>
                <w14:ligatures w14:val="none"/>
              </w:rPr>
              <w:t>30</w:t>
            </w:r>
          </w:p>
        </w:tc>
      </w:tr>
    </w:tbl>
    <w:p w14:paraId="0EEF5510" w14:textId="77777777" w:rsidR="00AA4759" w:rsidRDefault="00AA4759" w:rsidP="00AA4759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0E9EF9B1" w14:textId="77777777" w:rsidR="00AA4759" w:rsidRDefault="00AA4759" w:rsidP="00AA4759">
      <w:pPr>
        <w:numPr>
          <w:ilvl w:val="0"/>
          <w:numId w:val="1"/>
        </w:numPr>
        <w:tabs>
          <w:tab w:val="left" w:pos="0"/>
          <w:tab w:val="left" w:pos="284"/>
        </w:tabs>
        <w:spacing w:after="0" w:line="259" w:lineRule="auto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/>
          <w:kern w:val="0"/>
          <w:lang w:eastAsia="lv-LV"/>
          <w14:ligatures w14:val="none"/>
        </w:rPr>
        <w:t>Izteikt 12.</w:t>
      </w:r>
      <w:r w:rsidRPr="00243CCE">
        <w:rPr>
          <w:rFonts w:eastAsia="Calibri" w:cs="Times New Roman"/>
          <w:kern w:val="0"/>
          <w:vertAlign w:val="superscript"/>
          <w:lang w:eastAsia="lv-LV"/>
          <w14:ligatures w14:val="none"/>
        </w:rPr>
        <w:t>3</w:t>
      </w:r>
      <w:r>
        <w:rPr>
          <w:rFonts w:eastAsia="Calibri" w:cs="Times New Roman"/>
          <w:kern w:val="0"/>
          <w:lang w:eastAsia="lv-LV"/>
          <w14:ligatures w14:val="none"/>
        </w:rPr>
        <w:t>punktu šādā redakcijā:</w:t>
      </w:r>
    </w:p>
    <w:p w14:paraId="03DDBB98" w14:textId="77777777" w:rsidR="00AA4759" w:rsidRDefault="00AA4759" w:rsidP="00AA4759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  <w:r>
        <w:rPr>
          <w:rFonts w:eastAsia="Calibri" w:cs="Times New Roman"/>
          <w:kern w:val="0"/>
          <w:lang w:eastAsia="lv-LV"/>
          <w14:ligatures w14:val="none"/>
        </w:rPr>
        <w:t>“</w:t>
      </w:r>
      <w:r w:rsidRPr="00243CCE">
        <w:rPr>
          <w:rFonts w:eastAsia="Calibri" w:cs="Times New Roman"/>
          <w:kern w:val="0"/>
          <w:lang w:eastAsia="lv-LV"/>
          <w14:ligatures w14:val="none"/>
        </w:rPr>
        <w:t>12.</w:t>
      </w:r>
      <w:r w:rsidRPr="00243CCE">
        <w:rPr>
          <w:rFonts w:eastAsia="Calibri" w:cs="Times New Roman"/>
          <w:kern w:val="0"/>
          <w:vertAlign w:val="superscript"/>
          <w:lang w:eastAsia="lv-LV"/>
          <w14:ligatures w14:val="none"/>
        </w:rPr>
        <w:t>3</w:t>
      </w:r>
      <w:r w:rsidRPr="00243CCE">
        <w:rPr>
          <w:rFonts w:eastAsia="Calibri" w:cs="Times New Roman"/>
          <w:kern w:val="0"/>
          <w:lang w:eastAsia="lv-LV"/>
          <w14:ligatures w14:val="none"/>
        </w:rPr>
        <w:t> </w:t>
      </w:r>
      <w:r>
        <w:rPr>
          <w:rFonts w:eastAsia="Calibri" w:cs="Times New Roman"/>
          <w:kern w:val="0"/>
          <w:lang w:eastAsia="lv-LV"/>
          <w14:ligatures w14:val="none"/>
        </w:rPr>
        <w:t xml:space="preserve">Pašvaldības nodevām </w:t>
      </w:r>
      <w:r w:rsidRPr="00243CCE">
        <w:rPr>
          <w:rFonts w:eastAsia="Calibri" w:cs="Times New Roman"/>
          <w:kern w:val="0"/>
          <w:lang w:eastAsia="lv-LV"/>
          <w14:ligatures w14:val="none"/>
        </w:rPr>
        <w:t>9.1.9. un 9.1.10. apakšpunktā noteiktaj</w:t>
      </w:r>
      <w:r>
        <w:rPr>
          <w:rFonts w:eastAsia="Calibri" w:cs="Times New Roman"/>
          <w:kern w:val="0"/>
          <w:lang w:eastAsia="lv-LV"/>
          <w14:ligatures w14:val="none"/>
        </w:rPr>
        <w:t>os gadījumos piemērojams koeficients 0.5, ja attiecīgs pasākums notiek</w:t>
      </w:r>
      <w:r w:rsidRPr="00243CCE">
        <w:rPr>
          <w:rFonts w:eastAsia="Calibri" w:cs="Times New Roman"/>
          <w:kern w:val="0"/>
          <w:lang w:eastAsia="lv-LV"/>
          <w14:ligatures w14:val="none"/>
        </w:rPr>
        <w:t xml:space="preserve"> Alūksnes novada pagast</w:t>
      </w:r>
      <w:r>
        <w:rPr>
          <w:rFonts w:eastAsia="Calibri" w:cs="Times New Roman"/>
          <w:kern w:val="0"/>
          <w:lang w:eastAsia="lv-LV"/>
          <w14:ligatures w14:val="none"/>
        </w:rPr>
        <w:t>a</w:t>
      </w:r>
      <w:r w:rsidRPr="00243CCE">
        <w:rPr>
          <w:rFonts w:eastAsia="Calibri" w:cs="Times New Roman"/>
          <w:kern w:val="0"/>
          <w:lang w:eastAsia="lv-LV"/>
          <w14:ligatures w14:val="none"/>
        </w:rPr>
        <w:t xml:space="preserve"> teritorijā.</w:t>
      </w:r>
      <w:r>
        <w:rPr>
          <w:rFonts w:eastAsia="Calibri" w:cs="Times New Roman"/>
          <w:kern w:val="0"/>
          <w:lang w:eastAsia="lv-LV"/>
          <w14:ligatures w14:val="none"/>
        </w:rPr>
        <w:t>”.</w:t>
      </w:r>
    </w:p>
    <w:p w14:paraId="6C7263D9" w14:textId="77777777" w:rsidR="00AA4759" w:rsidRDefault="00AA4759" w:rsidP="00AA4759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7B6D6D6C" w14:textId="77777777" w:rsidR="00AA4759" w:rsidRDefault="00AA4759" w:rsidP="00AA4759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300BB029" w14:textId="77777777" w:rsidR="00AA4759" w:rsidRDefault="00AA4759" w:rsidP="00AA4759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4B71EC56" w14:textId="77777777" w:rsidR="00AA4759" w:rsidRDefault="00AA4759" w:rsidP="00AA4759">
      <w:pPr>
        <w:tabs>
          <w:tab w:val="left" w:pos="0"/>
          <w:tab w:val="left" w:pos="284"/>
        </w:tabs>
        <w:spacing w:after="0" w:line="259" w:lineRule="auto"/>
        <w:ind w:left="1080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</w:p>
    <w:p w14:paraId="2DA9C3F1" w14:textId="77777777" w:rsidR="00AA4759" w:rsidRDefault="00AA4759" w:rsidP="00AA4759">
      <w:pPr>
        <w:tabs>
          <w:tab w:val="left" w:pos="0"/>
          <w:tab w:val="left" w:pos="284"/>
        </w:tabs>
        <w:spacing w:after="0" w:line="259" w:lineRule="auto"/>
        <w:contextualSpacing/>
        <w:jc w:val="both"/>
        <w:rPr>
          <w:rFonts w:eastAsia="Calibri" w:cs="Times New Roman"/>
          <w:kern w:val="0"/>
          <w:lang w:eastAsia="lv-LV"/>
          <w14:ligatures w14:val="none"/>
        </w:rPr>
      </w:pPr>
      <w:r w:rsidRPr="005C766B">
        <w:rPr>
          <w:rFonts w:eastAsia="Times New Roman" w:cs="Times New Roman"/>
          <w:kern w:val="0"/>
          <w14:ligatures w14:val="none"/>
        </w:rPr>
        <w:t>Domes priekšsēdētājs</w:t>
      </w:r>
      <w:r w:rsidRPr="005C766B">
        <w:rPr>
          <w:rFonts w:eastAsia="Times New Roman" w:cs="Times New Roman"/>
          <w:kern w:val="0"/>
          <w14:ligatures w14:val="none"/>
        </w:rPr>
        <w:tab/>
      </w:r>
      <w:r w:rsidRPr="005C766B">
        <w:rPr>
          <w:rFonts w:eastAsia="Times New Roman" w:cs="Times New Roman"/>
          <w:kern w:val="0"/>
          <w14:ligatures w14:val="none"/>
        </w:rPr>
        <w:tab/>
      </w:r>
      <w:r w:rsidRPr="005C766B">
        <w:rPr>
          <w:rFonts w:eastAsia="Times New Roman" w:cs="Times New Roman"/>
          <w:kern w:val="0"/>
          <w14:ligatures w14:val="none"/>
        </w:rPr>
        <w:tab/>
      </w:r>
      <w:r w:rsidRPr="005C766B">
        <w:rPr>
          <w:rFonts w:eastAsia="Times New Roman" w:cs="Times New Roman"/>
          <w:kern w:val="0"/>
          <w14:ligatures w14:val="none"/>
        </w:rPr>
        <w:tab/>
        <w:t xml:space="preserve">                             Dz.</w:t>
      </w:r>
      <w:r>
        <w:rPr>
          <w:rFonts w:eastAsia="Times New Roman" w:cs="Times New Roman"/>
          <w:kern w:val="0"/>
          <w14:ligatures w14:val="none"/>
        </w:rPr>
        <w:t> </w:t>
      </w:r>
      <w:r w:rsidRPr="005C766B">
        <w:rPr>
          <w:rFonts w:eastAsia="Times New Roman" w:cs="Times New Roman"/>
          <w:kern w:val="0"/>
          <w14:ligatures w14:val="none"/>
        </w:rPr>
        <w:t>A</w:t>
      </w:r>
      <w:r>
        <w:rPr>
          <w:rFonts w:eastAsia="Times New Roman" w:cs="Times New Roman"/>
          <w:kern w:val="0"/>
          <w14:ligatures w14:val="none"/>
        </w:rPr>
        <w:t>DLERS</w:t>
      </w:r>
    </w:p>
    <w:p w14:paraId="368AA3AC" w14:textId="1FCAFB3B" w:rsidR="00AA4759" w:rsidRPr="00AA4759" w:rsidRDefault="00AA4759" w:rsidP="00AA4759">
      <w:pPr>
        <w:tabs>
          <w:tab w:val="left" w:pos="0"/>
          <w:tab w:val="left" w:pos="284"/>
        </w:tabs>
        <w:spacing w:after="0" w:line="259" w:lineRule="auto"/>
        <w:contextualSpacing/>
        <w:jc w:val="center"/>
        <w:rPr>
          <w:rFonts w:eastAsia="Calibri" w:cs="Times New Roman"/>
          <w:b/>
          <w:kern w:val="0"/>
          <w:lang w:eastAsia="lv-LV"/>
          <w14:ligatures w14:val="none"/>
        </w:rPr>
      </w:pPr>
      <w:r w:rsidRPr="00230390">
        <w:rPr>
          <w:rFonts w:eastAsia="Calibri" w:cs="Times New Roman"/>
          <w:b/>
          <w:kern w:val="0"/>
          <w:lang w:eastAsia="lv-LV"/>
          <w14:ligatures w14:val="none"/>
        </w:rPr>
        <w:lastRenderedPageBreak/>
        <w:t>Alūksnes novada pašvaldības domes saistošo noteikumu projekta</w:t>
      </w:r>
      <w:r w:rsidRPr="00230390">
        <w:rPr>
          <w:rFonts w:eastAsia="Calibri" w:cs="Times New Roman"/>
          <w:color w:val="000000"/>
          <w:kern w:val="0"/>
          <w:lang w:eastAsia="lv-LV"/>
          <w14:ligatures w14:val="none"/>
        </w:rPr>
        <w:t xml:space="preserve"> </w:t>
      </w:r>
      <w:r w:rsidRPr="00230390">
        <w:rPr>
          <w:rFonts w:eastAsia="Calibri" w:cs="Times New Roman"/>
          <w:b/>
          <w:color w:val="000000"/>
          <w:kern w:val="0"/>
          <w:lang w:eastAsia="lv-LV"/>
          <w14:ligatures w14:val="none"/>
        </w:rPr>
        <w:t xml:space="preserve">“Grozījumi Alūksnes novada pašvaldības domes </w:t>
      </w:r>
      <w:r w:rsidRPr="00AF43B6">
        <w:rPr>
          <w:rFonts w:eastAsia="Times New Roman" w:cs="Times New Roman"/>
          <w:b/>
          <w:kern w:val="0"/>
          <w14:ligatures w14:val="none"/>
        </w:rPr>
        <w:t>2024.</w:t>
      </w:r>
      <w:r>
        <w:rPr>
          <w:rFonts w:eastAsia="Times New Roman" w:cs="Times New Roman"/>
          <w:b/>
          <w:kern w:val="0"/>
          <w14:ligatures w14:val="none"/>
        </w:rPr>
        <w:t> </w:t>
      </w:r>
      <w:r w:rsidRPr="00AF43B6">
        <w:rPr>
          <w:rFonts w:eastAsia="Times New Roman" w:cs="Times New Roman"/>
          <w:b/>
          <w:kern w:val="0"/>
          <w14:ligatures w14:val="none"/>
        </w:rPr>
        <w:t>gada 28.</w:t>
      </w:r>
      <w:r>
        <w:rPr>
          <w:rFonts w:eastAsia="Times New Roman" w:cs="Times New Roman"/>
          <w:b/>
          <w:kern w:val="0"/>
          <w14:ligatures w14:val="none"/>
        </w:rPr>
        <w:t> </w:t>
      </w:r>
      <w:r w:rsidRPr="00AF43B6">
        <w:rPr>
          <w:rFonts w:eastAsia="Times New Roman" w:cs="Times New Roman"/>
          <w:b/>
          <w:kern w:val="0"/>
          <w14:ligatures w14:val="none"/>
        </w:rPr>
        <w:t>novembra saistošajos noteikumos Nr.</w:t>
      </w:r>
      <w:r>
        <w:rPr>
          <w:rFonts w:eastAsia="Times New Roman" w:cs="Times New Roman"/>
          <w:b/>
          <w:kern w:val="0"/>
          <w14:ligatures w14:val="none"/>
        </w:rPr>
        <w:t> </w:t>
      </w:r>
      <w:r w:rsidRPr="00AF43B6">
        <w:rPr>
          <w:rFonts w:eastAsia="Times New Roman" w:cs="Times New Roman"/>
          <w:b/>
          <w:kern w:val="0"/>
          <w14:ligatures w14:val="none"/>
        </w:rPr>
        <w:t>36/2024 “Par Alūksnes novada pašvaldības nodevām</w:t>
      </w:r>
      <w:r w:rsidRPr="00230390">
        <w:rPr>
          <w:rFonts w:eastAsia="Times New Roman" w:cs="Times New Roman"/>
          <w:b/>
          <w:kern w:val="0"/>
          <w14:ligatures w14:val="none"/>
        </w:rPr>
        <w:t xml:space="preserve">” </w:t>
      </w:r>
      <w:r w:rsidRPr="00230390">
        <w:rPr>
          <w:rFonts w:eastAsia="Calibri" w:cs="Times New Roman"/>
          <w:b/>
          <w:kern w:val="0"/>
          <w:lang w:eastAsia="lv-LV"/>
          <w14:ligatures w14:val="none"/>
        </w:rPr>
        <w:t>paskaidrojuma raksts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378"/>
      </w:tblGrid>
      <w:tr w:rsidR="00AA4759" w:rsidRPr="00230390" w14:paraId="0246120A" w14:textId="77777777" w:rsidTr="00AA4759">
        <w:trPr>
          <w:trHeight w:val="35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63DE" w14:textId="77777777" w:rsidR="00AA4759" w:rsidRPr="00230390" w:rsidRDefault="00AA4759" w:rsidP="00256C91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b/>
                <w:kern w:val="0"/>
                <w14:ligatures w14:val="none"/>
              </w:rPr>
              <w:t>Paskaidrojuma raksta sadaļas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000A8" w14:textId="77777777" w:rsidR="00AA4759" w:rsidRPr="00975D16" w:rsidRDefault="00AA4759" w:rsidP="00256C91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0"/>
                <w:highlight w:val="yellow"/>
                <w14:ligatures w14:val="none"/>
              </w:rPr>
            </w:pPr>
            <w:r w:rsidRPr="009A3B2F">
              <w:rPr>
                <w:rFonts w:eastAsia="Times New Roman" w:cs="Times New Roman"/>
                <w:b/>
                <w:kern w:val="0"/>
                <w14:ligatures w14:val="none"/>
              </w:rPr>
              <w:t>Informācija</w:t>
            </w:r>
          </w:p>
        </w:tc>
      </w:tr>
      <w:tr w:rsidR="00AA4759" w:rsidRPr="00230390" w14:paraId="20215B2C" w14:textId="77777777" w:rsidTr="00256C91">
        <w:trPr>
          <w:trHeight w:val="55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EB76A" w14:textId="77777777" w:rsidR="00AA4759" w:rsidRPr="00230390" w:rsidRDefault="00AA4759" w:rsidP="00256C91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 xml:space="preserve">1. Projekta mērķis un nepieciešamības pamatojums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F36AC" w14:textId="77777777" w:rsidR="00AA4759" w:rsidRPr="00975D16" w:rsidRDefault="00AA4759" w:rsidP="00256C91">
            <w:pPr>
              <w:spacing w:after="0" w:line="240" w:lineRule="auto"/>
              <w:jc w:val="both"/>
              <w:rPr>
                <w:rFonts w:eastAsia="Calibri" w:cs="Times New Roman"/>
                <w:kern w:val="0"/>
                <w:highlight w:val="yellow"/>
                <w14:ligatures w14:val="none"/>
              </w:rPr>
            </w:pP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Saistošo noteikumu izdošanas mērķis ir atbilstoš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>s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 Ministru kabineta 2005.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gada 28.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jūnija noteikumu Nr.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480 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>“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Noteikumi par kārtību, kādā pašvaldības var uzlikt pašvaldības nodevas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>” 9. punktam - p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ašvaldība ir tiesīga uzlikt 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 xml:space="preserve">nodevas par tirdzniecību publiskās vietās, </w:t>
            </w:r>
            <w:r w:rsidRPr="00EA70E5">
              <w:rPr>
                <w:rFonts w:eastAsia="Times New Roman" w:cs="Times New Roman"/>
                <w:kern w:val="0"/>
                <w:lang w:eastAsia="lv-LV"/>
                <w14:ligatures w14:val="none"/>
              </w:rPr>
              <w:t>personām, kuras tirgojas publiskās vietās saskaņā ar normatīvajiem aktiem par tirdzniecības veidiem, kas saskaņojami ar pašvaldību, un tirdzniecības organizēšanas kārtību.</w:t>
            </w:r>
            <w:r>
              <w:rPr>
                <w:rFonts w:ascii="Arial" w:hAnsi="Arial" w:cs="Arial"/>
                <w:color w:val="41414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A4759" w:rsidRPr="00230390" w14:paraId="27B1E94A" w14:textId="77777777" w:rsidTr="00256C91">
        <w:trPr>
          <w:trHeight w:val="8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37609" w14:textId="77777777" w:rsidR="00AA4759" w:rsidRPr="00230390" w:rsidRDefault="00AA4759" w:rsidP="00256C91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2. Projekta fiskālā ietekme uz pašvaldības budžetu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02F3" w14:textId="77777777" w:rsidR="00AA4759" w:rsidRPr="00975D16" w:rsidRDefault="00AA4759" w:rsidP="00256C91">
            <w:pPr>
              <w:spacing w:after="0" w:line="240" w:lineRule="auto"/>
              <w:jc w:val="both"/>
              <w:rPr>
                <w:rFonts w:eastAsia="Times New Roman" w:cs="Times New Roman"/>
                <w:bCs/>
                <w:kern w:val="0"/>
                <w:highlight w:val="yellow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:lang w:eastAsia="lv-LV"/>
                <w14:ligatures w14:val="none"/>
              </w:rPr>
              <w:t>Pamatojoties uz Pašvaldību likuma 46.</w:t>
            </w:r>
            <w:r>
              <w:rPr>
                <w:rFonts w:eastAsia="Times New Roman" w:cs="Times New Roman"/>
                <w:kern w:val="0"/>
                <w:lang w:eastAsia="lv-LV"/>
                <w14:ligatures w14:val="none"/>
              </w:rPr>
              <w:t> </w:t>
            </w:r>
            <w:r w:rsidRPr="001B71DA">
              <w:rPr>
                <w:rFonts w:eastAsia="Times New Roman" w:cs="Times New Roman"/>
                <w:kern w:val="0"/>
                <w:lang w:eastAsia="lv-LV"/>
                <w14:ligatures w14:val="none"/>
              </w:rPr>
              <w:t>panta otro daļu, saistošo noteikumu projekta par pašvaldības nodevām paskaidrojuma rakstā neiekļauj informāciju par plānoto projektu ietekmi uz pašvaldības budžetu.</w:t>
            </w:r>
          </w:p>
        </w:tc>
      </w:tr>
      <w:tr w:rsidR="00AA4759" w:rsidRPr="00230390" w14:paraId="15FBD67C" w14:textId="77777777" w:rsidTr="00256C91">
        <w:trPr>
          <w:trHeight w:val="127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7A85" w14:textId="77777777" w:rsidR="00AA4759" w:rsidRPr="00230390" w:rsidRDefault="00AA4759" w:rsidP="00256C91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3. Projekta sociālā ietekme, ietekme uz vidi, iedzīvotāju veselību, uzņēmējdarbības vidi pašvaldības teritorijā, ietekme uz konkurenci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3AD3" w14:textId="77777777" w:rsidR="00AA4759" w:rsidRPr="00975D16" w:rsidRDefault="00AA4759" w:rsidP="00256C91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lang w:eastAsia="lv-LV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:lang w:eastAsia="lv-LV"/>
                <w14:ligatures w14:val="none"/>
              </w:rPr>
              <w:t>Noteikumu izdošana sekmēs saimniecisko darbību pašvaldības administratīvajā teritorijā un radīs labvēlīgu ietekmi uz uzņēmējdarbības vidi un konkurenci.</w:t>
            </w:r>
          </w:p>
          <w:p w14:paraId="710989E4" w14:textId="77777777" w:rsidR="00AA4759" w:rsidRPr="00975D16" w:rsidRDefault="00AA4759" w:rsidP="00256C91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:lang w:eastAsia="lv-LV"/>
                <w14:ligatures w14:val="none"/>
              </w:rPr>
            </w:pPr>
          </w:p>
        </w:tc>
      </w:tr>
      <w:tr w:rsidR="00AA4759" w:rsidRPr="00230390" w14:paraId="461D2A8B" w14:textId="77777777" w:rsidTr="00256C91">
        <w:trPr>
          <w:trHeight w:val="4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0D3" w14:textId="77777777" w:rsidR="00AA4759" w:rsidRPr="00230390" w:rsidRDefault="00AA4759" w:rsidP="00256C91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4. Projekta ietekme uz administratīvajām procedūrām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9E2D" w14:textId="77777777" w:rsidR="00AA4759" w:rsidRPr="00975D16" w:rsidRDefault="00AA4759" w:rsidP="00256C91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14:ligatures w14:val="none"/>
              </w:rPr>
              <w:t>Saistošie noteikumi neparedz tiesiskā regulējuma izmaiņas attiecībā uz administratīvajām procedūrām un neietekmē to izmaksas.</w:t>
            </w:r>
          </w:p>
        </w:tc>
      </w:tr>
      <w:tr w:rsidR="00AA4759" w:rsidRPr="00230390" w14:paraId="2BA39478" w14:textId="77777777" w:rsidTr="00AA4759">
        <w:trPr>
          <w:trHeight w:val="88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FC9F" w14:textId="77777777" w:rsidR="00AA4759" w:rsidRPr="00230390" w:rsidRDefault="00AA4759" w:rsidP="00256C91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5. Projekta ietekme uz pašvaldības funkcijām un cilvēkresursiem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94FB4" w14:textId="77777777" w:rsidR="00AA4759" w:rsidRPr="001B71DA" w:rsidRDefault="00AA4759" w:rsidP="00256C91">
            <w:pPr>
              <w:tabs>
                <w:tab w:val="left" w:pos="472"/>
              </w:tabs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14:ligatures w14:val="none"/>
              </w:rPr>
            </w:pPr>
            <w:r w:rsidRPr="00A50E0F">
              <w:rPr>
                <w:rFonts w:cs="Times New Roman"/>
                <w:shd w:val="clear" w:color="auto" w:fill="FFFFFF"/>
              </w:rPr>
              <w:t>Saistošie noteikumi neparedz ietekmi uz pašvaldības autonomo funkciju izpildi un papildu cilvēkresursu iesaiste nav nepieciešama.</w:t>
            </w:r>
          </w:p>
        </w:tc>
      </w:tr>
      <w:tr w:rsidR="00AA4759" w:rsidRPr="00230390" w14:paraId="4A817947" w14:textId="77777777" w:rsidTr="00256C91">
        <w:trPr>
          <w:trHeight w:val="92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7E89" w14:textId="77777777" w:rsidR="00AA4759" w:rsidRPr="00230390" w:rsidRDefault="00AA4759" w:rsidP="00256C91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6. Informācija par projekta izpildes nodrošināšanu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A176C" w14:textId="77777777" w:rsidR="00AA4759" w:rsidRPr="00975D16" w:rsidRDefault="00AA4759" w:rsidP="00256C91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14:ligatures w14:val="none"/>
              </w:rPr>
              <w:t>Saistošo noteikumu izpildes īstenošanu nodrošinās pašvaldības attiecīgās amatpersonas un iestādes.</w:t>
            </w:r>
          </w:p>
        </w:tc>
      </w:tr>
      <w:tr w:rsidR="00AA4759" w:rsidRPr="00230390" w14:paraId="31815D0B" w14:textId="77777777" w:rsidTr="00AA4759">
        <w:trPr>
          <w:trHeight w:val="11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7A1F" w14:textId="77777777" w:rsidR="00AA4759" w:rsidRPr="00230390" w:rsidRDefault="00AA4759" w:rsidP="00256C91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7. Projekta prasību un izmaksu samērīgums pret ieguvumiem, ko sniedz mērķa sasniegšana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58523" w14:textId="77777777" w:rsidR="00AA4759" w:rsidRPr="00975D16" w:rsidRDefault="00AA4759" w:rsidP="00256C91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14:ligatures w14:val="none"/>
              </w:rPr>
              <w:t>Saistošie noteikumi ir piemēroti iecerētā mērķa sasniegšanai un izvēlētie līdzekļi ir atbilstoši normatīvajiem tiesību aktiem.</w:t>
            </w:r>
          </w:p>
        </w:tc>
      </w:tr>
      <w:tr w:rsidR="00AA4759" w:rsidRPr="00230390" w14:paraId="696CE982" w14:textId="77777777" w:rsidTr="00256C91">
        <w:trPr>
          <w:trHeight w:val="131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33DB" w14:textId="77777777" w:rsidR="00AA4759" w:rsidRPr="00230390" w:rsidRDefault="00AA4759" w:rsidP="00256C91">
            <w:pPr>
              <w:spacing w:after="0" w:line="276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230390">
              <w:rPr>
                <w:rFonts w:eastAsia="Times New Roman" w:cs="Times New Roman"/>
                <w:kern w:val="0"/>
                <w14:ligatures w14:val="none"/>
              </w:rPr>
              <w:t>8. Projekta izstrādes gaitā veiktās konsultācijas ar privātpersonām un institūcijām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2FA0" w14:textId="435D8C14" w:rsidR="00AA4759" w:rsidRPr="00975D16" w:rsidRDefault="00AA4759" w:rsidP="00256C91">
            <w:pPr>
              <w:spacing w:after="0" w:line="240" w:lineRule="auto"/>
              <w:jc w:val="both"/>
              <w:rPr>
                <w:rFonts w:eastAsia="Times New Roman" w:cs="Times New Roman"/>
                <w:kern w:val="0"/>
                <w:highlight w:val="yellow"/>
                <w14:ligatures w14:val="none"/>
              </w:rPr>
            </w:pPr>
            <w:r w:rsidRPr="001B71DA">
              <w:rPr>
                <w:rFonts w:eastAsia="Times New Roman" w:cs="Times New Roman"/>
                <w:kern w:val="0"/>
                <w14:ligatures w14:val="none"/>
              </w:rPr>
              <w:t>Atbilstoši Pašvaldību likuma 46.</w:t>
            </w:r>
            <w:r>
              <w:rPr>
                <w:rFonts w:eastAsia="Times New Roman" w:cs="Times New Roman"/>
                <w:kern w:val="0"/>
                <w14:ligatures w14:val="none"/>
              </w:rPr>
              <w:t> </w:t>
            </w:r>
            <w:r w:rsidRPr="001B71DA">
              <w:rPr>
                <w:rFonts w:eastAsia="Times New Roman" w:cs="Times New Roman"/>
                <w:kern w:val="0"/>
                <w14:ligatures w14:val="none"/>
              </w:rPr>
              <w:t>panta trešajai daļai, lai dotu sabiedrībai iespēju izteikt viedokli par saistošajiem noteikumiem, saistošo noteikumu projekts tika publicēts pašvaldības oficiālajā tīmekļvietnē www.aluksne.lv laika periodā no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06</w:t>
            </w:r>
            <w:r>
              <w:rPr>
                <w:rFonts w:eastAsia="Times New Roman" w:cs="Times New Roman"/>
                <w:kern w:val="0"/>
                <w14:ligatures w14:val="none"/>
              </w:rPr>
              <w:t>.05.2026</w:t>
            </w:r>
            <w:r w:rsidRPr="001B71DA">
              <w:rPr>
                <w:rFonts w:eastAsia="Times New Roman" w:cs="Times New Roman"/>
                <w:kern w:val="0"/>
                <w14:ligatures w14:val="none"/>
              </w:rPr>
              <w:t>. līdz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20</w:t>
            </w:r>
            <w:r>
              <w:rPr>
                <w:rFonts w:eastAsia="Times New Roman" w:cs="Times New Roman"/>
                <w:kern w:val="0"/>
                <w14:ligatures w14:val="none"/>
              </w:rPr>
              <w:t>.05.2026</w:t>
            </w:r>
            <w:r w:rsidRPr="001B71DA">
              <w:rPr>
                <w:rFonts w:eastAsia="Times New Roman" w:cs="Times New Roman"/>
                <w:kern w:val="0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14:ligatures w14:val="none"/>
              </w:rPr>
              <w:t xml:space="preserve"> </w:t>
            </w:r>
            <w:r w:rsidRPr="006F15C5">
              <w:rPr>
                <w:rFonts w:eastAsia="Times New Roman" w:cs="Times New Roman"/>
                <w:kern w:val="0"/>
                <w14:ligatures w14:val="none"/>
              </w:rPr>
              <w:t>Norādītajā termiņā sabiedrības viedoklis par saistošo noteikumu projektu nav saņemts</w:t>
            </w:r>
            <w:r>
              <w:rPr>
                <w:rFonts w:eastAsia="Times New Roman" w:cs="Times New Roman"/>
                <w:kern w:val="0"/>
                <w14:ligatures w14:val="none"/>
              </w:rPr>
              <w:t>.</w:t>
            </w:r>
          </w:p>
        </w:tc>
      </w:tr>
    </w:tbl>
    <w:p w14:paraId="3EEFE5FE" w14:textId="77777777" w:rsidR="00AA4759" w:rsidRDefault="00AA4759" w:rsidP="00AA4759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4D7D5017" w14:textId="4914D303" w:rsidR="00AA4759" w:rsidRPr="00230390" w:rsidRDefault="00AA4759" w:rsidP="00AA4759">
      <w:pPr>
        <w:spacing w:after="0" w:line="240" w:lineRule="auto"/>
        <w:rPr>
          <w:rFonts w:eastAsia="Calibri" w:cs="Times New Roman"/>
          <w:kern w:val="0"/>
          <w14:ligatures w14:val="none"/>
        </w:rPr>
      </w:pPr>
      <w:r w:rsidRPr="00230390">
        <w:rPr>
          <w:rFonts w:eastAsia="Calibri" w:cs="Times New Roman"/>
          <w:kern w:val="0"/>
          <w14:ligatures w14:val="none"/>
        </w:rPr>
        <w:t>Domes priekšsēdētājs</w:t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</w:r>
      <w:r w:rsidRPr="00230390">
        <w:rPr>
          <w:rFonts w:eastAsia="Calibri" w:cs="Times New Roman"/>
          <w:kern w:val="0"/>
          <w14:ligatures w14:val="none"/>
        </w:rPr>
        <w:tab/>
        <w:t>Dz. ADLERS</w:t>
      </w:r>
    </w:p>
    <w:sectPr w:rsidR="00AA4759" w:rsidRPr="002303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555498"/>
    <w:multiLevelType w:val="hybridMultilevel"/>
    <w:tmpl w:val="E800C9CA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68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82"/>
    <w:rsid w:val="00593C52"/>
    <w:rsid w:val="00AA4759"/>
    <w:rsid w:val="00AB3D32"/>
    <w:rsid w:val="00B22882"/>
    <w:rsid w:val="00F6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81AD"/>
  <w15:chartTrackingRefBased/>
  <w15:docId w15:val="{697AA9DC-0783-4314-8AC3-3D04DE7B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A4759"/>
  </w:style>
  <w:style w:type="paragraph" w:styleId="Virsraksts1">
    <w:name w:val="heading 1"/>
    <w:basedOn w:val="Parasts"/>
    <w:next w:val="Parasts"/>
    <w:link w:val="Virsraksts1Rakstz"/>
    <w:uiPriority w:val="9"/>
    <w:qFormat/>
    <w:rsid w:val="00B22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22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228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228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228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228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228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228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228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22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22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2288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2288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2288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2288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2288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2288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22882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22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22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228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2288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22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22882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22882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22882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22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22882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22882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AA4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2777</Words>
  <Characters>1584</Characters>
  <Application>Microsoft Office Word</Application>
  <DocSecurity>0</DocSecurity>
  <Lines>13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TOMIŅA</dc:creator>
  <cp:keywords/>
  <dc:description/>
  <cp:lastModifiedBy>Kristīne TOMIŅA</cp:lastModifiedBy>
  <cp:revision>2</cp:revision>
  <dcterms:created xsi:type="dcterms:W3CDTF">2026-05-21T11:10:00Z</dcterms:created>
  <dcterms:modified xsi:type="dcterms:W3CDTF">2026-05-21T11:10:00Z</dcterms:modified>
</cp:coreProperties>
</file>