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45881" w14:textId="77777777" w:rsidR="00C041BB" w:rsidRPr="00C041BB" w:rsidRDefault="00C041BB" w:rsidP="00C041BB">
      <w:pPr>
        <w:spacing w:after="0" w:line="240" w:lineRule="auto"/>
        <w:jc w:val="right"/>
        <w:rPr>
          <w:rFonts w:eastAsia="Times New Roman" w:cs="Times New Roman"/>
          <w:i/>
          <w:iCs/>
          <w:caps/>
          <w:kern w:val="0"/>
          <w:lang w:eastAsia="lv-LV"/>
          <w14:ligatures w14:val="none"/>
        </w:rPr>
      </w:pPr>
      <w:r w:rsidRPr="00C041BB">
        <w:rPr>
          <w:rFonts w:eastAsia="Times New Roman" w:cs="Times New Roman"/>
          <w:i/>
          <w:iCs/>
          <w:caps/>
          <w:kern w:val="0"/>
          <w:lang w:eastAsia="lv-LV"/>
          <w14:ligatures w14:val="none"/>
        </w:rPr>
        <w:t>Lēmuma projekts</w:t>
      </w:r>
    </w:p>
    <w:p w14:paraId="6E144B6A" w14:textId="77777777" w:rsidR="00C041BB" w:rsidRPr="00C041BB" w:rsidRDefault="00C041BB" w:rsidP="00C041BB">
      <w:pPr>
        <w:spacing w:after="0" w:line="240" w:lineRule="auto"/>
        <w:jc w:val="right"/>
        <w:rPr>
          <w:rFonts w:eastAsia="Times New Roman" w:cs="Times New Roman"/>
          <w:kern w:val="0"/>
          <w:highlight w:val="yellow"/>
          <w:lang w:eastAsia="lv-LV"/>
          <w14:ligatures w14:val="none"/>
        </w:rPr>
      </w:pPr>
    </w:p>
    <w:p w14:paraId="1B9E19C5" w14:textId="77777777" w:rsidR="00C041BB" w:rsidRPr="00C041BB" w:rsidRDefault="00C041BB" w:rsidP="00C041BB">
      <w:pPr>
        <w:spacing w:after="0" w:line="240" w:lineRule="auto"/>
        <w:jc w:val="center"/>
        <w:rPr>
          <w:rFonts w:eastAsia="Times New Roman" w:cs="Times New Roman"/>
          <w:b/>
          <w:bCs/>
          <w:kern w:val="0"/>
          <w:lang w:eastAsia="lv-LV"/>
          <w14:ligatures w14:val="none"/>
        </w:rPr>
      </w:pPr>
      <w:r w:rsidRPr="00C041BB">
        <w:rPr>
          <w:rFonts w:eastAsia="Times New Roman" w:cs="Times New Roman"/>
          <w:b/>
          <w:bCs/>
          <w:kern w:val="0"/>
          <w:lang w:eastAsia="lv-LV"/>
          <w14:ligatures w14:val="none"/>
        </w:rPr>
        <w:t>Par maksas apstiprināšanu Alūksnes novada pašvaldības iestādes “ALJA” sniegtajiem maksas pakalpojumiem</w:t>
      </w:r>
    </w:p>
    <w:p w14:paraId="1B4F6293" w14:textId="77777777" w:rsidR="00C041BB" w:rsidRPr="00C041BB" w:rsidRDefault="00C041BB" w:rsidP="00C041BB">
      <w:pPr>
        <w:spacing w:after="0" w:line="240" w:lineRule="auto"/>
        <w:jc w:val="center"/>
        <w:rPr>
          <w:rFonts w:eastAsia="Times New Roman" w:cs="Times New Roman"/>
          <w:b/>
          <w:bCs/>
          <w:kern w:val="0"/>
          <w:lang w:eastAsia="lv-LV"/>
          <w14:ligatures w14:val="none"/>
        </w:rPr>
      </w:pPr>
    </w:p>
    <w:p w14:paraId="4F856A3B" w14:textId="77777777" w:rsidR="00C041BB" w:rsidRPr="00C041BB" w:rsidRDefault="00C041BB" w:rsidP="00C041BB">
      <w:pPr>
        <w:spacing w:after="0" w:line="240" w:lineRule="auto"/>
        <w:ind w:left="-15" w:firstLine="360"/>
        <w:jc w:val="both"/>
        <w:rPr>
          <w:rFonts w:eastAsia="Times New Roman" w:cs="Times New Roman"/>
          <w:kern w:val="0"/>
          <w:lang w:eastAsia="lv-LV"/>
          <w14:ligatures w14:val="none"/>
        </w:rPr>
      </w:pPr>
      <w:r w:rsidRPr="00C041BB">
        <w:rPr>
          <w:rFonts w:eastAsia="Times New Roman" w:cs="Times New Roman"/>
          <w:kern w:val="0"/>
          <w:lang w:eastAsia="lv-LV"/>
          <w14:ligatures w14:val="none"/>
        </w:rPr>
        <w:t xml:space="preserve">Pamatojoties uz Pašvaldību likuma 10. panta pirmās daļas ievaddaļu, Pievienotās vērtības nodokļa likuma 5. panta pirmo daļu, Ministru kabineta 2013. gada 3. janvāra noteikumiem Nr. 17 “Pievienotās vērtības nodokļa likuma normu piemērošanas kārtība un atsevišķas prasības pievienotās vērtības nodokļa maksāšanai un administrēšanai”, Maksas pakalpojumu izcenojumu noteikšanas metodiku un izcenojumu apstiprināšanas kārtību, kas apstiprināta ar Alūksnes novada pašvaldības izpilddirektora </w:t>
      </w:r>
      <w:r w:rsidRPr="00C041BB">
        <w:rPr>
          <w:rFonts w:eastAsia="Times New Roman" w:cs="Times New Roman"/>
          <w:kern w:val="0"/>
          <w:lang w:val="ru-RU" w:eastAsia="lv-LV"/>
          <w14:ligatures w14:val="none"/>
        </w:rPr>
        <w:t>31.05.2024. rīkojumu Nr. ANP/1-6/24/148</w:t>
      </w:r>
      <w:r w:rsidRPr="00C041BB">
        <w:rPr>
          <w:rFonts w:eastAsia="Times New Roman" w:cs="Times New Roman"/>
          <w:kern w:val="0"/>
          <w:lang w:eastAsia="lv-LV"/>
          <w14:ligatures w14:val="none"/>
        </w:rPr>
        <w:t>,</w:t>
      </w:r>
    </w:p>
    <w:p w14:paraId="4C49488D" w14:textId="77777777" w:rsidR="00C041BB" w:rsidRPr="00C041BB" w:rsidRDefault="00C041BB" w:rsidP="00C041BB">
      <w:pPr>
        <w:spacing w:after="0" w:line="240" w:lineRule="auto"/>
        <w:rPr>
          <w:rFonts w:eastAsia="Times New Roman" w:cs="Times New Roman"/>
          <w:kern w:val="0"/>
          <w:highlight w:val="yellow"/>
          <w:lang w:eastAsia="lv-LV"/>
          <w14:ligatures w14:val="none"/>
        </w:rPr>
      </w:pPr>
      <w:r w:rsidRPr="00C041BB">
        <w:rPr>
          <w:rFonts w:eastAsia="Times New Roman" w:cs="Times New Roman"/>
          <w:b/>
          <w:kern w:val="0"/>
          <w:highlight w:val="yellow"/>
          <w:lang w:eastAsia="lv-LV"/>
          <w14:ligatures w14:val="none"/>
        </w:rPr>
        <w:t xml:space="preserve"> </w:t>
      </w:r>
    </w:p>
    <w:p w14:paraId="32713160" w14:textId="77777777" w:rsidR="00C041BB" w:rsidRPr="00C041BB" w:rsidRDefault="00C041BB" w:rsidP="00C041BB">
      <w:pPr>
        <w:numPr>
          <w:ilvl w:val="0"/>
          <w:numId w:val="1"/>
        </w:numPr>
        <w:spacing w:after="0" w:line="240" w:lineRule="auto"/>
        <w:ind w:right="569" w:hanging="360"/>
        <w:jc w:val="both"/>
        <w:rPr>
          <w:rFonts w:eastAsia="Times New Roman" w:cs="Times New Roman"/>
          <w:kern w:val="0"/>
          <w:lang w:eastAsia="lv-LV"/>
          <w14:ligatures w14:val="none"/>
        </w:rPr>
      </w:pPr>
      <w:r w:rsidRPr="00C041BB">
        <w:rPr>
          <w:rFonts w:eastAsia="Times New Roman" w:cs="Times New Roman"/>
          <w:kern w:val="0"/>
          <w:lang w:eastAsia="lv-LV"/>
          <w14:ligatures w14:val="none"/>
        </w:rPr>
        <w:t>Apstiprināt</w:t>
      </w:r>
      <w:r w:rsidRPr="00C041BB">
        <w:rPr>
          <w:rFonts w:eastAsia="Times New Roman" w:cs="Times New Roman"/>
          <w:bCs/>
          <w:kern w:val="0"/>
          <w:lang w:eastAsia="lv-LV"/>
          <w14:ligatures w14:val="none"/>
        </w:rPr>
        <w:t xml:space="preserve"> maksu Alūksnes novada pašvaldības iestādes “ALJA” sniegtajiem maksas pakalpojumiem</w:t>
      </w:r>
      <w:r w:rsidRPr="00C041BB">
        <w:rPr>
          <w:rFonts w:eastAsia="Times New Roman" w:cs="Times New Roman"/>
          <w:kern w:val="0"/>
          <w:lang w:eastAsia="lv-LV"/>
          <w14:ligatures w14:val="none"/>
        </w:rPr>
        <w:t>:</w:t>
      </w:r>
    </w:p>
    <w:p w14:paraId="3B7FF5C9" w14:textId="77777777" w:rsidR="00C041BB" w:rsidRPr="00C041BB" w:rsidRDefault="00C041BB" w:rsidP="00C041BB">
      <w:pPr>
        <w:spacing w:after="0" w:line="240" w:lineRule="auto"/>
        <w:ind w:left="720" w:right="569"/>
        <w:jc w:val="both"/>
        <w:rPr>
          <w:rFonts w:eastAsia="Times New Roman" w:cs="Times New Roman"/>
          <w:kern w:val="0"/>
          <w:lang w:eastAsia="lv-LV"/>
          <w14:ligatures w14:val="none"/>
        </w:rPr>
      </w:pPr>
    </w:p>
    <w:tbl>
      <w:tblPr>
        <w:tblStyle w:val="Reatabula1"/>
        <w:tblW w:w="8775" w:type="dxa"/>
        <w:tblLayout w:type="fixed"/>
        <w:tblLook w:val="04A0" w:firstRow="1" w:lastRow="0" w:firstColumn="1" w:lastColumn="0" w:noHBand="0" w:noVBand="1"/>
      </w:tblPr>
      <w:tblGrid>
        <w:gridCol w:w="704"/>
        <w:gridCol w:w="3260"/>
        <w:gridCol w:w="1560"/>
        <w:gridCol w:w="1622"/>
        <w:gridCol w:w="1629"/>
      </w:tblGrid>
      <w:tr w:rsidR="00C041BB" w:rsidRPr="00C041BB" w14:paraId="7FBC0207" w14:textId="77777777" w:rsidTr="006F49A5">
        <w:tc>
          <w:tcPr>
            <w:tcW w:w="704" w:type="dxa"/>
            <w:vAlign w:val="center"/>
          </w:tcPr>
          <w:p w14:paraId="3704E58E" w14:textId="77777777" w:rsidR="00C041BB" w:rsidRPr="00C041BB" w:rsidRDefault="00C041BB" w:rsidP="00C041BB">
            <w:pPr>
              <w:jc w:val="center"/>
              <w:rPr>
                <w:rFonts w:eastAsia="Times New Roman" w:cs="Times New Roman"/>
                <w:b/>
                <w:bCs/>
                <w:lang w:eastAsia="lv-LV"/>
              </w:rPr>
            </w:pPr>
            <w:r w:rsidRPr="00C041BB">
              <w:rPr>
                <w:rFonts w:eastAsia="Times New Roman" w:cs="Times New Roman"/>
                <w:b/>
                <w:bCs/>
                <w:lang w:eastAsia="lv-LV"/>
              </w:rPr>
              <w:t>Nr. p.k.</w:t>
            </w:r>
          </w:p>
        </w:tc>
        <w:tc>
          <w:tcPr>
            <w:tcW w:w="3260" w:type="dxa"/>
            <w:vAlign w:val="center"/>
          </w:tcPr>
          <w:p w14:paraId="51E741A4" w14:textId="77777777" w:rsidR="00C041BB" w:rsidRPr="00C041BB" w:rsidRDefault="00C041BB" w:rsidP="00C041BB">
            <w:pPr>
              <w:jc w:val="center"/>
              <w:rPr>
                <w:rFonts w:eastAsia="Times New Roman" w:cs="Times New Roman"/>
                <w:b/>
                <w:bCs/>
                <w:lang w:eastAsia="lv-LV"/>
              </w:rPr>
            </w:pPr>
            <w:r w:rsidRPr="00C041BB">
              <w:rPr>
                <w:rFonts w:eastAsia="Times New Roman" w:cs="Times New Roman"/>
                <w:b/>
                <w:bCs/>
                <w:lang w:eastAsia="lv-LV"/>
              </w:rPr>
              <w:t>Pakalpojums</w:t>
            </w:r>
          </w:p>
        </w:tc>
        <w:tc>
          <w:tcPr>
            <w:tcW w:w="1560" w:type="dxa"/>
            <w:vAlign w:val="center"/>
          </w:tcPr>
          <w:p w14:paraId="2FCE0E3D" w14:textId="77777777" w:rsidR="00C041BB" w:rsidRPr="00C041BB" w:rsidRDefault="00C041BB" w:rsidP="00C041BB">
            <w:pPr>
              <w:jc w:val="center"/>
              <w:rPr>
                <w:rFonts w:eastAsia="Times New Roman" w:cs="Times New Roman"/>
                <w:b/>
                <w:bCs/>
                <w:lang w:eastAsia="lv-LV"/>
              </w:rPr>
            </w:pPr>
            <w:r w:rsidRPr="00C041BB">
              <w:rPr>
                <w:rFonts w:eastAsia="Times New Roman" w:cs="Times New Roman"/>
                <w:b/>
                <w:bCs/>
                <w:lang w:eastAsia="lv-LV"/>
              </w:rPr>
              <w:t>Vienība</w:t>
            </w:r>
          </w:p>
        </w:tc>
        <w:tc>
          <w:tcPr>
            <w:tcW w:w="1622" w:type="dxa"/>
            <w:vAlign w:val="center"/>
          </w:tcPr>
          <w:p w14:paraId="0F0515F3" w14:textId="77777777" w:rsidR="00C041BB" w:rsidRPr="00C041BB" w:rsidRDefault="00C041BB" w:rsidP="00C041BB">
            <w:pPr>
              <w:jc w:val="center"/>
              <w:rPr>
                <w:rFonts w:eastAsia="Times New Roman" w:cs="Times New Roman"/>
                <w:b/>
                <w:bCs/>
                <w:lang w:eastAsia="lv-LV"/>
              </w:rPr>
            </w:pPr>
            <w:r w:rsidRPr="00C041BB">
              <w:rPr>
                <w:rFonts w:eastAsia="Times New Roman" w:cs="Times New Roman"/>
                <w:b/>
                <w:bCs/>
                <w:lang w:eastAsia="lv-LV"/>
              </w:rPr>
              <w:t>Cena bez PVN (EUR)</w:t>
            </w:r>
          </w:p>
        </w:tc>
        <w:tc>
          <w:tcPr>
            <w:tcW w:w="1629" w:type="dxa"/>
            <w:vAlign w:val="center"/>
          </w:tcPr>
          <w:p w14:paraId="5127D24F" w14:textId="77777777" w:rsidR="00C041BB" w:rsidRPr="00C041BB" w:rsidRDefault="00C041BB" w:rsidP="00C041BB">
            <w:pPr>
              <w:jc w:val="center"/>
              <w:rPr>
                <w:rFonts w:eastAsia="Times New Roman" w:cs="Times New Roman"/>
                <w:b/>
                <w:bCs/>
                <w:lang w:eastAsia="lv-LV"/>
              </w:rPr>
            </w:pPr>
            <w:r w:rsidRPr="00C041BB">
              <w:rPr>
                <w:rFonts w:eastAsia="Times New Roman" w:cs="Times New Roman"/>
                <w:b/>
                <w:bCs/>
                <w:lang w:eastAsia="lv-LV"/>
              </w:rPr>
              <w:t>PVN</w:t>
            </w:r>
          </w:p>
        </w:tc>
      </w:tr>
      <w:tr w:rsidR="00C041BB" w:rsidRPr="00C041BB" w14:paraId="23D03DC7" w14:textId="77777777" w:rsidTr="006F49A5">
        <w:tc>
          <w:tcPr>
            <w:tcW w:w="704" w:type="dxa"/>
            <w:vAlign w:val="center"/>
          </w:tcPr>
          <w:p w14:paraId="6AA6C4DF" w14:textId="77777777" w:rsidR="00C041BB" w:rsidRPr="00C041BB" w:rsidRDefault="00C041BB" w:rsidP="00C041BB">
            <w:pPr>
              <w:rPr>
                <w:rFonts w:eastAsia="Times New Roman" w:cs="Times New Roman"/>
                <w:lang w:eastAsia="lv-LV"/>
              </w:rPr>
            </w:pPr>
            <w:r w:rsidRPr="00C041BB">
              <w:rPr>
                <w:rFonts w:eastAsia="Times New Roman" w:cs="Times New Roman"/>
                <w:lang w:eastAsia="lv-LV"/>
              </w:rPr>
              <w:t>1.</w:t>
            </w:r>
          </w:p>
        </w:tc>
        <w:tc>
          <w:tcPr>
            <w:tcW w:w="3260" w:type="dxa"/>
            <w:vAlign w:val="center"/>
          </w:tcPr>
          <w:p w14:paraId="1ADB8272" w14:textId="77777777" w:rsidR="00C041BB" w:rsidRPr="00C041BB" w:rsidRDefault="00C041BB" w:rsidP="00C041BB">
            <w:pPr>
              <w:rPr>
                <w:rFonts w:eastAsia="Times New Roman" w:cs="Times New Roman"/>
                <w:lang w:eastAsia="lv-LV"/>
              </w:rPr>
            </w:pPr>
            <w:r w:rsidRPr="00C041BB">
              <w:rPr>
                <w:rFonts w:eastAsia="Times New Roman" w:cs="Times New Roman"/>
                <w:lang w:eastAsia="lv-LV"/>
              </w:rPr>
              <w:t>Dalības maksa makšķerēšanas sacensību pasākumos</w:t>
            </w:r>
          </w:p>
        </w:tc>
        <w:tc>
          <w:tcPr>
            <w:tcW w:w="1560" w:type="dxa"/>
            <w:vAlign w:val="center"/>
          </w:tcPr>
          <w:p w14:paraId="72280450" w14:textId="77777777" w:rsidR="00C041BB" w:rsidRPr="00C041BB" w:rsidRDefault="00C041BB" w:rsidP="00C041BB">
            <w:pPr>
              <w:rPr>
                <w:rFonts w:eastAsia="Times New Roman" w:cs="Times New Roman"/>
                <w:bCs/>
                <w:lang w:eastAsia="lv-LV"/>
              </w:rPr>
            </w:pPr>
            <w:r w:rsidRPr="00C041BB">
              <w:rPr>
                <w:rFonts w:eastAsia="Times New Roman" w:cs="Times New Roman"/>
                <w:bCs/>
                <w:lang w:eastAsia="lv-LV"/>
              </w:rPr>
              <w:t>1 dalībnieks</w:t>
            </w:r>
          </w:p>
        </w:tc>
        <w:tc>
          <w:tcPr>
            <w:tcW w:w="1622" w:type="dxa"/>
            <w:vAlign w:val="center"/>
          </w:tcPr>
          <w:p w14:paraId="043A540C" w14:textId="77777777" w:rsidR="00C041BB" w:rsidRPr="00C041BB" w:rsidRDefault="00C041BB" w:rsidP="00C041BB">
            <w:pPr>
              <w:jc w:val="center"/>
              <w:rPr>
                <w:rFonts w:eastAsia="Times New Roman" w:cs="Times New Roman"/>
                <w:bCs/>
                <w:lang w:eastAsia="lv-LV"/>
              </w:rPr>
            </w:pPr>
            <w:r w:rsidRPr="00C041BB">
              <w:rPr>
                <w:rFonts w:eastAsia="Times New Roman" w:cs="Times New Roman"/>
                <w:bCs/>
                <w:lang w:eastAsia="lv-LV"/>
              </w:rPr>
              <w:t>10,00</w:t>
            </w:r>
          </w:p>
        </w:tc>
        <w:tc>
          <w:tcPr>
            <w:tcW w:w="1629" w:type="dxa"/>
            <w:vAlign w:val="center"/>
          </w:tcPr>
          <w:p w14:paraId="4CB701E3" w14:textId="77777777" w:rsidR="00C041BB" w:rsidRPr="00C041BB" w:rsidRDefault="00C041BB" w:rsidP="00C041BB">
            <w:pPr>
              <w:rPr>
                <w:rFonts w:eastAsia="Times New Roman" w:cs="Times New Roman"/>
                <w:bCs/>
                <w:lang w:eastAsia="lv-LV"/>
              </w:rPr>
            </w:pPr>
            <w:r w:rsidRPr="00C041BB">
              <w:rPr>
                <w:rFonts w:eastAsia="Times New Roman" w:cs="Times New Roman"/>
                <w:bCs/>
                <w:lang w:eastAsia="lv-LV"/>
              </w:rPr>
              <w:t>nepiemēro</w:t>
            </w:r>
          </w:p>
        </w:tc>
      </w:tr>
      <w:tr w:rsidR="00C041BB" w:rsidRPr="00C041BB" w14:paraId="308AF7F6" w14:textId="77777777" w:rsidTr="006F49A5">
        <w:tc>
          <w:tcPr>
            <w:tcW w:w="704" w:type="dxa"/>
          </w:tcPr>
          <w:p w14:paraId="06DECCBE" w14:textId="77777777" w:rsidR="00C041BB" w:rsidRPr="00C041BB" w:rsidRDefault="00C041BB" w:rsidP="00C041BB">
            <w:pPr>
              <w:rPr>
                <w:rFonts w:eastAsia="Times New Roman" w:cs="Times New Roman"/>
                <w:lang w:eastAsia="lv-LV"/>
              </w:rPr>
            </w:pPr>
            <w:r w:rsidRPr="00C041BB">
              <w:rPr>
                <w:rFonts w:eastAsia="Times New Roman" w:cs="Times New Roman"/>
                <w:lang w:eastAsia="lv-LV"/>
              </w:rPr>
              <w:t>2.</w:t>
            </w:r>
          </w:p>
        </w:tc>
        <w:tc>
          <w:tcPr>
            <w:tcW w:w="3260" w:type="dxa"/>
          </w:tcPr>
          <w:p w14:paraId="2C615982" w14:textId="77777777" w:rsidR="00C041BB" w:rsidRPr="00C041BB" w:rsidRDefault="00C041BB" w:rsidP="00C041BB">
            <w:pPr>
              <w:rPr>
                <w:rFonts w:eastAsia="Times New Roman" w:cs="Times New Roman"/>
                <w:lang w:val="en-US" w:eastAsia="lv-LV"/>
              </w:rPr>
            </w:pPr>
            <w:r w:rsidRPr="00C041BB">
              <w:rPr>
                <w:rFonts w:eastAsia="Times New Roman" w:cs="Times New Roman"/>
                <w:lang w:val="en-US" w:eastAsia="lv-LV"/>
              </w:rPr>
              <w:t>Maksa par zušu zvejas procesa nodrošināšanu</w:t>
            </w:r>
          </w:p>
        </w:tc>
        <w:tc>
          <w:tcPr>
            <w:tcW w:w="1560" w:type="dxa"/>
          </w:tcPr>
          <w:p w14:paraId="2DB3AAD1" w14:textId="77777777" w:rsidR="00C041BB" w:rsidRPr="00C041BB" w:rsidRDefault="00C041BB" w:rsidP="00C041BB">
            <w:pPr>
              <w:rPr>
                <w:rFonts w:eastAsia="Times New Roman" w:cs="Times New Roman"/>
                <w:lang w:val="en-US" w:eastAsia="lv-LV"/>
              </w:rPr>
            </w:pPr>
            <w:r w:rsidRPr="00C041BB">
              <w:rPr>
                <w:rFonts w:eastAsia="Times New Roman" w:cs="Times New Roman"/>
                <w:lang w:val="en-US" w:eastAsia="lv-LV"/>
              </w:rPr>
              <w:t>1 kilograms</w:t>
            </w:r>
          </w:p>
        </w:tc>
        <w:tc>
          <w:tcPr>
            <w:tcW w:w="1622" w:type="dxa"/>
            <w:vAlign w:val="center"/>
          </w:tcPr>
          <w:p w14:paraId="60ACDE8D" w14:textId="77777777" w:rsidR="00C041BB" w:rsidRPr="00C041BB" w:rsidRDefault="00C041BB" w:rsidP="00C041BB">
            <w:pPr>
              <w:jc w:val="center"/>
              <w:rPr>
                <w:rFonts w:eastAsia="Times New Roman" w:cs="Times New Roman"/>
                <w:lang w:val="en-US" w:eastAsia="lv-LV"/>
              </w:rPr>
            </w:pPr>
            <w:r w:rsidRPr="00C041BB">
              <w:rPr>
                <w:rFonts w:eastAsia="Times New Roman" w:cs="Times New Roman"/>
                <w:lang w:val="en-US" w:eastAsia="lv-LV"/>
              </w:rPr>
              <w:t>10,74</w:t>
            </w:r>
          </w:p>
        </w:tc>
        <w:tc>
          <w:tcPr>
            <w:tcW w:w="1629" w:type="dxa"/>
            <w:vAlign w:val="center"/>
          </w:tcPr>
          <w:p w14:paraId="62E2C420" w14:textId="77777777" w:rsidR="00C041BB" w:rsidRPr="00C041BB" w:rsidRDefault="00C041BB" w:rsidP="00C041BB">
            <w:pPr>
              <w:rPr>
                <w:rFonts w:eastAsia="Times New Roman" w:cs="Times New Roman"/>
                <w:lang w:val="en-US" w:eastAsia="lv-LV"/>
              </w:rPr>
            </w:pPr>
            <w:r w:rsidRPr="00C041BB">
              <w:rPr>
                <w:rFonts w:eastAsia="Times New Roman" w:cs="Times New Roman"/>
                <w:lang w:val="en-US" w:eastAsia="lv-LV"/>
              </w:rPr>
              <w:t>piemēro</w:t>
            </w:r>
          </w:p>
        </w:tc>
      </w:tr>
      <w:tr w:rsidR="00C041BB" w:rsidRPr="00C041BB" w14:paraId="36E373BB" w14:textId="77777777" w:rsidTr="006F49A5">
        <w:tc>
          <w:tcPr>
            <w:tcW w:w="704" w:type="dxa"/>
          </w:tcPr>
          <w:p w14:paraId="5E576744" w14:textId="77777777" w:rsidR="00C041BB" w:rsidRPr="00C041BB" w:rsidRDefault="00C041BB" w:rsidP="00C041BB">
            <w:pPr>
              <w:rPr>
                <w:rFonts w:eastAsia="Times New Roman" w:cs="Times New Roman"/>
                <w:lang w:val="ru-RU" w:eastAsia="lv-LV"/>
              </w:rPr>
            </w:pPr>
            <w:r w:rsidRPr="00C041BB">
              <w:rPr>
                <w:rFonts w:eastAsia="Times New Roman" w:cs="Times New Roman"/>
                <w:lang w:val="ru-RU" w:eastAsia="lv-LV"/>
              </w:rPr>
              <w:t>3.</w:t>
            </w:r>
          </w:p>
        </w:tc>
        <w:tc>
          <w:tcPr>
            <w:tcW w:w="3260" w:type="dxa"/>
          </w:tcPr>
          <w:p w14:paraId="5A217FCE" w14:textId="77777777" w:rsidR="00C041BB" w:rsidRPr="00C041BB" w:rsidRDefault="00C041BB" w:rsidP="00C041BB">
            <w:pPr>
              <w:rPr>
                <w:rFonts w:eastAsia="Times New Roman" w:cs="Times New Roman"/>
                <w:lang w:val="ru-RU" w:eastAsia="lv-LV"/>
              </w:rPr>
            </w:pPr>
            <w:r w:rsidRPr="00C041BB">
              <w:rPr>
                <w:rFonts w:eastAsia="Times New Roman" w:cs="Times New Roman"/>
                <w:lang w:val="en-US" w:eastAsia="lv-LV"/>
              </w:rPr>
              <w:t>Piest</w:t>
            </w:r>
            <w:r w:rsidRPr="00C041BB">
              <w:rPr>
                <w:rFonts w:eastAsia="Times New Roman" w:cs="Times New Roman"/>
                <w:lang w:val="ru-RU" w:eastAsia="lv-LV"/>
              </w:rPr>
              <w:t>ā</w:t>
            </w:r>
            <w:r w:rsidRPr="00C041BB">
              <w:rPr>
                <w:rFonts w:eastAsia="Times New Roman" w:cs="Times New Roman"/>
                <w:lang w:val="en-US" w:eastAsia="lv-LV"/>
              </w:rPr>
              <w:t>tnes</w:t>
            </w:r>
            <w:r w:rsidRPr="00C041BB">
              <w:rPr>
                <w:rFonts w:eastAsia="Times New Roman" w:cs="Times New Roman"/>
                <w:lang w:val="ru-RU" w:eastAsia="lv-LV"/>
              </w:rPr>
              <w:t xml:space="preserve"> </w:t>
            </w:r>
            <w:r w:rsidRPr="00C041BB">
              <w:rPr>
                <w:rFonts w:eastAsia="Times New Roman" w:cs="Times New Roman"/>
                <w:lang w:val="en-US" w:eastAsia="lv-LV"/>
              </w:rPr>
              <w:t>nomas</w:t>
            </w:r>
            <w:r w:rsidRPr="00C041BB">
              <w:rPr>
                <w:rFonts w:eastAsia="Times New Roman" w:cs="Times New Roman"/>
                <w:lang w:val="ru-RU" w:eastAsia="lv-LV"/>
              </w:rPr>
              <w:t xml:space="preserve"> </w:t>
            </w:r>
            <w:r w:rsidRPr="00C041BB">
              <w:rPr>
                <w:rFonts w:eastAsia="Times New Roman" w:cs="Times New Roman"/>
                <w:lang w:val="en-US" w:eastAsia="lv-LV"/>
              </w:rPr>
              <w:t>maksa</w:t>
            </w:r>
            <w:r w:rsidRPr="00C041BB">
              <w:rPr>
                <w:rFonts w:eastAsia="Times New Roman" w:cs="Times New Roman"/>
                <w:lang w:val="ru-RU" w:eastAsia="lv-LV"/>
              </w:rPr>
              <w:t xml:space="preserve"> </w:t>
            </w:r>
            <w:r w:rsidRPr="00C041BB">
              <w:rPr>
                <w:rFonts w:eastAsia="Times New Roman" w:cs="Times New Roman"/>
                <w:lang w:val="en-US" w:eastAsia="lv-LV"/>
              </w:rPr>
              <w:t>vienai</w:t>
            </w:r>
            <w:r w:rsidRPr="00C041BB">
              <w:rPr>
                <w:rFonts w:eastAsia="Times New Roman" w:cs="Times New Roman"/>
                <w:lang w:val="ru-RU" w:eastAsia="lv-LV"/>
              </w:rPr>
              <w:t xml:space="preserve"> ū</w:t>
            </w:r>
            <w:r w:rsidRPr="00C041BB">
              <w:rPr>
                <w:rFonts w:eastAsia="Times New Roman" w:cs="Times New Roman"/>
                <w:lang w:val="en-US" w:eastAsia="lv-LV"/>
              </w:rPr>
              <w:t>dens</w:t>
            </w:r>
            <w:r w:rsidRPr="00C041BB">
              <w:rPr>
                <w:rFonts w:eastAsia="Times New Roman" w:cs="Times New Roman"/>
                <w:lang w:val="ru-RU" w:eastAsia="lv-LV"/>
              </w:rPr>
              <w:t xml:space="preserve"> </w:t>
            </w:r>
            <w:r w:rsidRPr="00C041BB">
              <w:rPr>
                <w:rFonts w:eastAsia="Times New Roman" w:cs="Times New Roman"/>
                <w:lang w:val="en-US" w:eastAsia="lv-LV"/>
              </w:rPr>
              <w:t>transportl</w:t>
            </w:r>
            <w:r w:rsidRPr="00C041BB">
              <w:rPr>
                <w:rFonts w:eastAsia="Times New Roman" w:cs="Times New Roman"/>
                <w:lang w:val="ru-RU" w:eastAsia="lv-LV"/>
              </w:rPr>
              <w:t>ī</w:t>
            </w:r>
            <w:r w:rsidRPr="00C041BB">
              <w:rPr>
                <w:rFonts w:eastAsia="Times New Roman" w:cs="Times New Roman"/>
                <w:lang w:val="en-US" w:eastAsia="lv-LV"/>
              </w:rPr>
              <w:t>dzek</w:t>
            </w:r>
            <w:r w:rsidRPr="00C041BB">
              <w:rPr>
                <w:rFonts w:eastAsia="Times New Roman" w:cs="Times New Roman"/>
                <w:lang w:val="ru-RU" w:eastAsia="lv-LV"/>
              </w:rPr>
              <w:t>ļ</w:t>
            </w:r>
            <w:r w:rsidRPr="00C041BB">
              <w:rPr>
                <w:rFonts w:eastAsia="Times New Roman" w:cs="Times New Roman"/>
                <w:lang w:val="en-US" w:eastAsia="lv-LV"/>
              </w:rPr>
              <w:t>a</w:t>
            </w:r>
            <w:r w:rsidRPr="00C041BB">
              <w:rPr>
                <w:rFonts w:eastAsia="Times New Roman" w:cs="Times New Roman"/>
                <w:lang w:val="ru-RU" w:eastAsia="lv-LV"/>
              </w:rPr>
              <w:t xml:space="preserve"> </w:t>
            </w:r>
            <w:r w:rsidRPr="00C041BB">
              <w:rPr>
                <w:rFonts w:eastAsia="Times New Roman" w:cs="Times New Roman"/>
                <w:lang w:val="en-US" w:eastAsia="lv-LV"/>
              </w:rPr>
              <w:t>vien</w:t>
            </w:r>
            <w:r w:rsidRPr="00C041BB">
              <w:rPr>
                <w:rFonts w:eastAsia="Times New Roman" w:cs="Times New Roman"/>
                <w:lang w:val="ru-RU" w:eastAsia="lv-LV"/>
              </w:rPr>
              <w:t>ī</w:t>
            </w:r>
            <w:r w:rsidRPr="00C041BB">
              <w:rPr>
                <w:rFonts w:eastAsia="Times New Roman" w:cs="Times New Roman"/>
                <w:lang w:val="en-US" w:eastAsia="lv-LV"/>
              </w:rPr>
              <w:t>bai</w:t>
            </w:r>
            <w:r w:rsidRPr="00C041BB">
              <w:rPr>
                <w:rFonts w:eastAsia="Times New Roman" w:cs="Times New Roman"/>
                <w:lang w:val="ru-RU" w:eastAsia="lv-LV"/>
              </w:rPr>
              <w:t xml:space="preserve"> </w:t>
            </w:r>
            <w:r w:rsidRPr="00C041BB">
              <w:rPr>
                <w:rFonts w:eastAsia="Times New Roman" w:cs="Times New Roman"/>
                <w:lang w:val="en-US" w:eastAsia="lv-LV"/>
              </w:rPr>
              <w:t>Al</w:t>
            </w:r>
            <w:r w:rsidRPr="00C041BB">
              <w:rPr>
                <w:rFonts w:eastAsia="Times New Roman" w:cs="Times New Roman"/>
                <w:lang w:val="ru-RU" w:eastAsia="lv-LV"/>
              </w:rPr>
              <w:t>ū</w:t>
            </w:r>
            <w:r w:rsidRPr="00C041BB">
              <w:rPr>
                <w:rFonts w:eastAsia="Times New Roman" w:cs="Times New Roman"/>
                <w:lang w:val="en-US" w:eastAsia="lv-LV"/>
              </w:rPr>
              <w:t>ksnes</w:t>
            </w:r>
            <w:r w:rsidRPr="00C041BB">
              <w:rPr>
                <w:rFonts w:eastAsia="Times New Roman" w:cs="Times New Roman"/>
                <w:lang w:val="ru-RU" w:eastAsia="lv-LV"/>
              </w:rPr>
              <w:t xml:space="preserve"> </w:t>
            </w:r>
            <w:r w:rsidRPr="00C041BB">
              <w:rPr>
                <w:rFonts w:eastAsia="Times New Roman" w:cs="Times New Roman"/>
                <w:lang w:val="en-US" w:eastAsia="lv-LV"/>
              </w:rPr>
              <w:t>ezer</w:t>
            </w:r>
            <w:r w:rsidRPr="00C041BB">
              <w:rPr>
                <w:rFonts w:eastAsia="Times New Roman" w:cs="Times New Roman"/>
                <w:lang w:val="ru-RU" w:eastAsia="lv-LV"/>
              </w:rPr>
              <w:t>ā (</w:t>
            </w:r>
            <w:r w:rsidRPr="00C041BB">
              <w:rPr>
                <w:rFonts w:eastAsia="Times New Roman" w:cs="Times New Roman"/>
                <w:lang w:val="en-US" w:eastAsia="lv-LV"/>
              </w:rPr>
              <w:t>pie</w:t>
            </w:r>
            <w:r w:rsidRPr="00C041BB">
              <w:rPr>
                <w:rFonts w:eastAsia="Times New Roman" w:cs="Times New Roman"/>
                <w:lang w:val="ru-RU" w:eastAsia="lv-LV"/>
              </w:rPr>
              <w:t xml:space="preserve"> </w:t>
            </w:r>
            <w:r w:rsidRPr="00C041BB">
              <w:rPr>
                <w:rFonts w:eastAsia="Times New Roman" w:cs="Times New Roman"/>
                <w:lang w:val="en-US" w:eastAsia="lv-LV"/>
              </w:rPr>
              <w:t>administrat</w:t>
            </w:r>
            <w:r w:rsidRPr="00C041BB">
              <w:rPr>
                <w:rFonts w:eastAsia="Times New Roman" w:cs="Times New Roman"/>
                <w:lang w:val="ru-RU" w:eastAsia="lv-LV"/>
              </w:rPr>
              <w:t>ī</w:t>
            </w:r>
            <w:r w:rsidRPr="00C041BB">
              <w:rPr>
                <w:rFonts w:eastAsia="Times New Roman" w:cs="Times New Roman"/>
                <w:lang w:val="en-US" w:eastAsia="lv-LV"/>
              </w:rPr>
              <w:t>v</w:t>
            </w:r>
            <w:r w:rsidRPr="00C041BB">
              <w:rPr>
                <w:rFonts w:eastAsia="Times New Roman" w:cs="Times New Roman"/>
                <w:lang w:val="ru-RU" w:eastAsia="lv-LV"/>
              </w:rPr>
              <w:t>ā</w:t>
            </w:r>
            <w:r w:rsidRPr="00C041BB">
              <w:rPr>
                <w:rFonts w:eastAsia="Times New Roman" w:cs="Times New Roman"/>
                <w:lang w:val="en-US" w:eastAsia="lv-LV"/>
              </w:rPr>
              <w:t>s</w:t>
            </w:r>
            <w:r w:rsidRPr="00C041BB">
              <w:rPr>
                <w:rFonts w:eastAsia="Times New Roman" w:cs="Times New Roman"/>
                <w:lang w:val="ru-RU" w:eastAsia="lv-LV"/>
              </w:rPr>
              <w:t xml:space="preserve"> ē</w:t>
            </w:r>
            <w:r w:rsidRPr="00C041BB">
              <w:rPr>
                <w:rFonts w:eastAsia="Times New Roman" w:cs="Times New Roman"/>
                <w:lang w:val="en-US" w:eastAsia="lv-LV"/>
              </w:rPr>
              <w:t>kas</w:t>
            </w:r>
            <w:r w:rsidRPr="00C041BB">
              <w:rPr>
                <w:rFonts w:eastAsia="Times New Roman" w:cs="Times New Roman"/>
                <w:lang w:val="ru-RU" w:eastAsia="lv-LV"/>
              </w:rPr>
              <w:t xml:space="preserve"> </w:t>
            </w:r>
            <w:r w:rsidRPr="00C041BB">
              <w:rPr>
                <w:rFonts w:eastAsia="Times New Roman" w:cs="Times New Roman"/>
                <w:lang w:val="en-US" w:eastAsia="lv-LV"/>
              </w:rPr>
              <w:t>Pilssalas</w:t>
            </w:r>
            <w:r w:rsidRPr="00C041BB">
              <w:rPr>
                <w:rFonts w:eastAsia="Times New Roman" w:cs="Times New Roman"/>
                <w:lang w:val="ru-RU" w:eastAsia="lv-LV"/>
              </w:rPr>
              <w:t xml:space="preserve"> </w:t>
            </w:r>
            <w:r w:rsidRPr="00C041BB">
              <w:rPr>
                <w:rFonts w:eastAsia="Times New Roman" w:cs="Times New Roman"/>
                <w:lang w:val="en-US" w:eastAsia="lv-LV"/>
              </w:rPr>
              <w:t>iel</w:t>
            </w:r>
            <w:r w:rsidRPr="00C041BB">
              <w:rPr>
                <w:rFonts w:eastAsia="Times New Roman" w:cs="Times New Roman"/>
                <w:lang w:val="ru-RU" w:eastAsia="lv-LV"/>
              </w:rPr>
              <w:t xml:space="preserve">ā 10, </w:t>
            </w:r>
            <w:r w:rsidRPr="00C041BB">
              <w:rPr>
                <w:rFonts w:eastAsia="Times New Roman" w:cs="Times New Roman"/>
                <w:lang w:val="en-US" w:eastAsia="lv-LV"/>
              </w:rPr>
              <w:t>Al</w:t>
            </w:r>
            <w:r w:rsidRPr="00C041BB">
              <w:rPr>
                <w:rFonts w:eastAsia="Times New Roman" w:cs="Times New Roman"/>
                <w:lang w:val="ru-RU" w:eastAsia="lv-LV"/>
              </w:rPr>
              <w:t>ū</w:t>
            </w:r>
            <w:r w:rsidRPr="00C041BB">
              <w:rPr>
                <w:rFonts w:eastAsia="Times New Roman" w:cs="Times New Roman"/>
                <w:lang w:val="en-US" w:eastAsia="lv-LV"/>
              </w:rPr>
              <w:t>ksn</w:t>
            </w:r>
            <w:r w:rsidRPr="00C041BB">
              <w:rPr>
                <w:rFonts w:eastAsia="Times New Roman" w:cs="Times New Roman"/>
                <w:lang w:val="ru-RU" w:eastAsia="lv-LV"/>
              </w:rPr>
              <w:t xml:space="preserve">ē, </w:t>
            </w:r>
            <w:r w:rsidRPr="00C041BB">
              <w:rPr>
                <w:rFonts w:eastAsia="Times New Roman" w:cs="Times New Roman"/>
                <w:lang w:val="en-US" w:eastAsia="lv-LV"/>
              </w:rPr>
              <w:t>Al</w:t>
            </w:r>
            <w:r w:rsidRPr="00C041BB">
              <w:rPr>
                <w:rFonts w:eastAsia="Times New Roman" w:cs="Times New Roman"/>
                <w:lang w:val="ru-RU" w:eastAsia="lv-LV"/>
              </w:rPr>
              <w:t>ū</w:t>
            </w:r>
            <w:r w:rsidRPr="00C041BB">
              <w:rPr>
                <w:rFonts w:eastAsia="Times New Roman" w:cs="Times New Roman"/>
                <w:lang w:val="en-US" w:eastAsia="lv-LV"/>
              </w:rPr>
              <w:t>ksnes</w:t>
            </w:r>
            <w:r w:rsidRPr="00C041BB">
              <w:rPr>
                <w:rFonts w:eastAsia="Times New Roman" w:cs="Times New Roman"/>
                <w:lang w:val="ru-RU" w:eastAsia="lv-LV"/>
              </w:rPr>
              <w:t xml:space="preserve"> </w:t>
            </w:r>
            <w:r w:rsidRPr="00C041BB">
              <w:rPr>
                <w:rFonts w:eastAsia="Times New Roman" w:cs="Times New Roman"/>
                <w:lang w:val="en-US" w:eastAsia="lv-LV"/>
              </w:rPr>
              <w:t>novad</w:t>
            </w:r>
            <w:r w:rsidRPr="00C041BB">
              <w:rPr>
                <w:rFonts w:eastAsia="Times New Roman" w:cs="Times New Roman"/>
                <w:lang w:val="ru-RU" w:eastAsia="lv-LV"/>
              </w:rPr>
              <w:t xml:space="preserve">ā, </w:t>
            </w:r>
            <w:r w:rsidRPr="00C041BB">
              <w:rPr>
                <w:rFonts w:eastAsia="Times New Roman" w:cs="Times New Roman"/>
                <w:lang w:val="en-US" w:eastAsia="lv-LV"/>
              </w:rPr>
              <w:t>LV</w:t>
            </w:r>
            <w:r w:rsidRPr="00C041BB">
              <w:rPr>
                <w:rFonts w:eastAsia="Times New Roman" w:cs="Times New Roman"/>
                <w:lang w:val="ru-RU" w:eastAsia="lv-LV"/>
              </w:rPr>
              <w:t xml:space="preserve"> – 4301) </w:t>
            </w:r>
            <w:r w:rsidRPr="00C041BB">
              <w:rPr>
                <w:rFonts w:eastAsia="Times New Roman" w:cs="Times New Roman"/>
                <w:lang w:val="en-US" w:eastAsia="lv-LV"/>
              </w:rPr>
              <w:t>pie</w:t>
            </w:r>
            <w:r w:rsidRPr="00C041BB">
              <w:rPr>
                <w:rFonts w:eastAsia="Times New Roman" w:cs="Times New Roman"/>
                <w:lang w:val="ru-RU" w:eastAsia="lv-LV"/>
              </w:rPr>
              <w:t xml:space="preserve"> </w:t>
            </w:r>
            <w:r w:rsidRPr="00C041BB">
              <w:rPr>
                <w:rFonts w:eastAsia="Times New Roman" w:cs="Times New Roman"/>
                <w:lang w:val="en-US" w:eastAsia="lv-LV"/>
              </w:rPr>
              <w:t>pontonu</w:t>
            </w:r>
            <w:r w:rsidRPr="00C041BB">
              <w:rPr>
                <w:rFonts w:eastAsia="Times New Roman" w:cs="Times New Roman"/>
                <w:lang w:val="ru-RU" w:eastAsia="lv-LV"/>
              </w:rPr>
              <w:t xml:space="preserve"> </w:t>
            </w:r>
            <w:r w:rsidRPr="00C041BB">
              <w:rPr>
                <w:rFonts w:eastAsia="Times New Roman" w:cs="Times New Roman"/>
                <w:lang w:val="en-US" w:eastAsia="lv-LV"/>
              </w:rPr>
              <w:t>laipas</w:t>
            </w:r>
          </w:p>
        </w:tc>
        <w:tc>
          <w:tcPr>
            <w:tcW w:w="1560" w:type="dxa"/>
            <w:vAlign w:val="center"/>
          </w:tcPr>
          <w:p w14:paraId="5230F573" w14:textId="77777777" w:rsidR="00C041BB" w:rsidRPr="00C041BB" w:rsidRDefault="00C041BB" w:rsidP="00C041BB">
            <w:pPr>
              <w:rPr>
                <w:rFonts w:eastAsia="Times New Roman" w:cs="Times New Roman"/>
                <w:lang w:eastAsia="lv-LV"/>
              </w:rPr>
            </w:pPr>
            <w:r w:rsidRPr="00C041BB">
              <w:rPr>
                <w:rFonts w:eastAsia="Times New Roman" w:cs="Times New Roman"/>
                <w:lang w:eastAsia="lv-LV"/>
              </w:rPr>
              <w:t>1 diennaksts</w:t>
            </w:r>
          </w:p>
        </w:tc>
        <w:tc>
          <w:tcPr>
            <w:tcW w:w="1622" w:type="dxa"/>
            <w:vAlign w:val="center"/>
          </w:tcPr>
          <w:p w14:paraId="3B452108" w14:textId="77777777" w:rsidR="00C041BB" w:rsidRPr="00C041BB" w:rsidRDefault="00C041BB" w:rsidP="00C041BB">
            <w:pPr>
              <w:jc w:val="center"/>
              <w:rPr>
                <w:rFonts w:eastAsia="Times New Roman" w:cs="Times New Roman"/>
                <w:lang w:eastAsia="lv-LV"/>
              </w:rPr>
            </w:pPr>
            <w:r w:rsidRPr="00C041BB">
              <w:rPr>
                <w:rFonts w:eastAsia="Times New Roman" w:cs="Times New Roman"/>
                <w:lang w:eastAsia="lv-LV"/>
              </w:rPr>
              <w:t>10,00</w:t>
            </w:r>
          </w:p>
        </w:tc>
        <w:tc>
          <w:tcPr>
            <w:tcW w:w="1629" w:type="dxa"/>
            <w:vAlign w:val="center"/>
          </w:tcPr>
          <w:p w14:paraId="66110B18" w14:textId="77777777" w:rsidR="00C041BB" w:rsidRPr="00C041BB" w:rsidRDefault="00C041BB" w:rsidP="00C041BB">
            <w:pPr>
              <w:rPr>
                <w:rFonts w:eastAsia="Times New Roman" w:cs="Times New Roman"/>
                <w:lang w:eastAsia="lv-LV"/>
              </w:rPr>
            </w:pPr>
            <w:r w:rsidRPr="00C041BB">
              <w:rPr>
                <w:rFonts w:eastAsia="Times New Roman" w:cs="Times New Roman"/>
                <w:lang w:eastAsia="lv-LV"/>
              </w:rPr>
              <w:t>piemēro</w:t>
            </w:r>
          </w:p>
        </w:tc>
      </w:tr>
    </w:tbl>
    <w:p w14:paraId="4EDBA8DF" w14:textId="77777777" w:rsidR="00C041BB" w:rsidRPr="00C041BB" w:rsidRDefault="00C041BB" w:rsidP="00C041BB">
      <w:pPr>
        <w:spacing w:after="0" w:line="240" w:lineRule="auto"/>
        <w:ind w:left="1080"/>
        <w:contextualSpacing/>
        <w:jc w:val="both"/>
        <w:rPr>
          <w:rFonts w:eastAsia="Times New Roman" w:cs="Times New Roman"/>
          <w:kern w:val="0"/>
          <w:lang w:eastAsia="lv-LV"/>
          <w14:ligatures w14:val="none"/>
        </w:rPr>
      </w:pPr>
    </w:p>
    <w:p w14:paraId="30F3C07E" w14:textId="77777777" w:rsidR="00C041BB" w:rsidRDefault="00C041BB" w:rsidP="00C041BB">
      <w:pPr>
        <w:numPr>
          <w:ilvl w:val="0"/>
          <w:numId w:val="2"/>
        </w:numPr>
        <w:tabs>
          <w:tab w:val="left" w:pos="284"/>
        </w:tabs>
        <w:spacing w:after="0" w:line="240" w:lineRule="auto"/>
        <w:ind w:left="709" w:right="569" w:hanging="283"/>
        <w:contextualSpacing/>
        <w:jc w:val="both"/>
        <w:rPr>
          <w:rFonts w:eastAsia="Times New Roman" w:cs="Times New Roman"/>
          <w:kern w:val="0"/>
          <w:lang w:eastAsia="lv-LV"/>
          <w14:ligatures w14:val="none"/>
        </w:rPr>
      </w:pPr>
      <w:r w:rsidRPr="00C041BB">
        <w:rPr>
          <w:rFonts w:eastAsia="Times New Roman" w:cs="Times New Roman"/>
          <w:kern w:val="0"/>
          <w:lang w:eastAsia="lv-LV"/>
          <w14:ligatures w14:val="none"/>
        </w:rPr>
        <w:t>Atzīt par spēku zaudējušu Alūksnes novada pašvaldības domes 2023. gada 26. oktobra lēmumu Nr. 313 “Par maksas apstiprināšanu Alūksnes novada pašvaldības iestādes “ALJA” sniegtajiem maksas pakalpojumiem”.</w:t>
      </w:r>
    </w:p>
    <w:p w14:paraId="6FA4687F" w14:textId="2A238D62" w:rsidR="00AB3D32" w:rsidRPr="00C041BB" w:rsidRDefault="00C041BB" w:rsidP="00C041BB">
      <w:pPr>
        <w:numPr>
          <w:ilvl w:val="0"/>
          <w:numId w:val="2"/>
        </w:numPr>
        <w:tabs>
          <w:tab w:val="left" w:pos="284"/>
        </w:tabs>
        <w:spacing w:after="0" w:line="240" w:lineRule="auto"/>
        <w:ind w:left="709" w:right="569" w:hanging="283"/>
        <w:contextualSpacing/>
        <w:jc w:val="both"/>
        <w:rPr>
          <w:rFonts w:eastAsia="Times New Roman" w:cs="Times New Roman"/>
          <w:kern w:val="0"/>
          <w:lang w:eastAsia="lv-LV"/>
          <w14:ligatures w14:val="none"/>
        </w:rPr>
      </w:pPr>
      <w:r w:rsidRPr="00C041BB">
        <w:rPr>
          <w:rFonts w:eastAsia="Times New Roman" w:cs="Times New Roman"/>
          <w:kern w:val="0"/>
          <w:lang w:eastAsia="lv-LV"/>
          <w14:ligatures w14:val="none"/>
        </w:rPr>
        <w:t>Lēmums stājas spēkā 2026. gada 1. maijā.</w:t>
      </w:r>
    </w:p>
    <w:sectPr w:rsidR="00AB3D32" w:rsidRPr="00C041B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ED59E5"/>
    <w:multiLevelType w:val="hybridMultilevel"/>
    <w:tmpl w:val="087E2E22"/>
    <w:lvl w:ilvl="0" w:tplc="E154E1D8">
      <w:start w:val="1"/>
      <w:numFmt w:val="decimal"/>
      <w:lvlText w:val="%1."/>
      <w:lvlJc w:val="left"/>
      <w:pPr>
        <w:ind w:left="7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tplc="D87A7F94">
      <w:start w:val="1"/>
      <w:numFmt w:val="lowerLetter"/>
      <w:lvlText w:val="%2"/>
      <w:lvlJc w:val="left"/>
      <w:pPr>
        <w:ind w:left="14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D6B0D9CE">
      <w:start w:val="1"/>
      <w:numFmt w:val="lowerRoman"/>
      <w:lvlText w:val="%3"/>
      <w:lvlJc w:val="left"/>
      <w:pPr>
        <w:ind w:left="21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3F0E7200">
      <w:start w:val="1"/>
      <w:numFmt w:val="decimal"/>
      <w:lvlText w:val="%4"/>
      <w:lvlJc w:val="left"/>
      <w:pPr>
        <w:ind w:left="28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E9A4BD98">
      <w:start w:val="1"/>
      <w:numFmt w:val="lowerLetter"/>
      <w:lvlText w:val="%5"/>
      <w:lvlJc w:val="left"/>
      <w:pPr>
        <w:ind w:left="360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2656F70A">
      <w:start w:val="1"/>
      <w:numFmt w:val="lowerRoman"/>
      <w:lvlText w:val="%6"/>
      <w:lvlJc w:val="left"/>
      <w:pPr>
        <w:ind w:left="432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D854C1E0">
      <w:start w:val="1"/>
      <w:numFmt w:val="decimal"/>
      <w:lvlText w:val="%7"/>
      <w:lvlJc w:val="left"/>
      <w:pPr>
        <w:ind w:left="504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38AC6E60">
      <w:start w:val="1"/>
      <w:numFmt w:val="lowerLetter"/>
      <w:lvlText w:val="%8"/>
      <w:lvlJc w:val="left"/>
      <w:pPr>
        <w:ind w:left="576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DA3E01F6">
      <w:start w:val="1"/>
      <w:numFmt w:val="lowerRoman"/>
      <w:lvlText w:val="%9"/>
      <w:lvlJc w:val="left"/>
      <w:pPr>
        <w:ind w:left="6480"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 w15:restartNumberingAfterBreak="0">
    <w:nsid w:val="7A195BE3"/>
    <w:multiLevelType w:val="hybridMultilevel"/>
    <w:tmpl w:val="DCB82DA4"/>
    <w:lvl w:ilvl="0" w:tplc="B6AA3CA2">
      <w:start w:val="2"/>
      <w:numFmt w:val="decimal"/>
      <w:lvlText w:val="%1."/>
      <w:lvlJc w:val="left"/>
      <w:pPr>
        <w:ind w:left="108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22283112">
    <w:abstractNumId w:val="0"/>
  </w:num>
  <w:num w:numId="2" w16cid:durableId="60059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4F5"/>
    <w:rsid w:val="004954F5"/>
    <w:rsid w:val="00AB3D32"/>
    <w:rsid w:val="00C041BB"/>
    <w:rsid w:val="00DC1712"/>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33F2D"/>
  <w15:chartTrackingRefBased/>
  <w15:docId w15:val="{4866EA06-D1AE-4061-B69D-F533CB7D7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4954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4954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4954F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4954F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4954F5"/>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4954F5"/>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4954F5"/>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4954F5"/>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4954F5"/>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4954F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4954F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4954F5"/>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4954F5"/>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4954F5"/>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4954F5"/>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4954F5"/>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4954F5"/>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4954F5"/>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4954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4954F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4954F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4954F5"/>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4954F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4954F5"/>
    <w:rPr>
      <w:i/>
      <w:iCs/>
      <w:color w:val="404040" w:themeColor="text1" w:themeTint="BF"/>
    </w:rPr>
  </w:style>
  <w:style w:type="paragraph" w:styleId="Sarakstarindkopa">
    <w:name w:val="List Paragraph"/>
    <w:basedOn w:val="Parasts"/>
    <w:uiPriority w:val="34"/>
    <w:qFormat/>
    <w:rsid w:val="004954F5"/>
    <w:pPr>
      <w:ind w:left="720"/>
      <w:contextualSpacing/>
    </w:pPr>
  </w:style>
  <w:style w:type="character" w:styleId="Intensvsizclums">
    <w:name w:val="Intense Emphasis"/>
    <w:basedOn w:val="Noklusjumarindkopasfonts"/>
    <w:uiPriority w:val="21"/>
    <w:qFormat/>
    <w:rsid w:val="004954F5"/>
    <w:rPr>
      <w:i/>
      <w:iCs/>
      <w:color w:val="0F4761" w:themeColor="accent1" w:themeShade="BF"/>
    </w:rPr>
  </w:style>
  <w:style w:type="paragraph" w:styleId="Intensvscitts">
    <w:name w:val="Intense Quote"/>
    <w:basedOn w:val="Parasts"/>
    <w:next w:val="Parasts"/>
    <w:link w:val="IntensvscittsRakstz"/>
    <w:uiPriority w:val="30"/>
    <w:qFormat/>
    <w:rsid w:val="004954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4954F5"/>
    <w:rPr>
      <w:i/>
      <w:iCs/>
      <w:color w:val="0F4761" w:themeColor="accent1" w:themeShade="BF"/>
    </w:rPr>
  </w:style>
  <w:style w:type="character" w:styleId="Intensvaatsauce">
    <w:name w:val="Intense Reference"/>
    <w:basedOn w:val="Noklusjumarindkopasfonts"/>
    <w:uiPriority w:val="32"/>
    <w:qFormat/>
    <w:rsid w:val="004954F5"/>
    <w:rPr>
      <w:b/>
      <w:bCs/>
      <w:smallCaps/>
      <w:color w:val="0F4761" w:themeColor="accent1" w:themeShade="BF"/>
      <w:spacing w:val="5"/>
    </w:rPr>
  </w:style>
  <w:style w:type="table" w:customStyle="1" w:styleId="Reatabula1">
    <w:name w:val="Režģa tabula1"/>
    <w:basedOn w:val="Parastatabula"/>
    <w:next w:val="Reatabula"/>
    <w:uiPriority w:val="39"/>
    <w:rsid w:val="00C041BB"/>
    <w:pPr>
      <w:spacing w:after="0" w:line="240" w:lineRule="auto"/>
    </w:pPr>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C041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898</Words>
  <Characters>513</Characters>
  <Application>Microsoft Office Word</Application>
  <DocSecurity>0</DocSecurity>
  <Lines>4</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2026-04-21T07:09:00Z</dcterms:created>
  <dcterms:modified xsi:type="dcterms:W3CDTF">2026-04-21T07:09:00Z</dcterms:modified>
</cp:coreProperties>
</file>